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40" w:lineRule="auto"/>
        <w:ind w:firstLine="600"/>
        <w:jc w:val="left"/>
        <w:rPr>
          <w:rFonts w:ascii="Times New Roman" w:hAnsi="Times New Roman" w:cs="Times New Roman"/>
        </w:rPr>
      </w:pPr>
    </w:p>
    <w:p>
      <w:pPr>
        <w:pStyle w:val="11"/>
        <w:spacing w:line="240" w:lineRule="auto"/>
        <w:ind w:firstLine="600"/>
        <w:jc w:val="left"/>
        <w:rPr>
          <w:rFonts w:ascii="Times New Roman" w:hAnsi="Times New Roman" w:cs="Times New Roman"/>
        </w:rPr>
      </w:pPr>
    </w:p>
    <w:p>
      <w:pPr>
        <w:pStyle w:val="12"/>
        <w:spacing w:after="0"/>
        <w:ind w:firstLine="0" w:firstLineChars="0"/>
        <w:rPr>
          <w:rFonts w:ascii="Times New Roman" w:hAnsi="Times New Roman" w:eastAsia="黑体" w:cs="Times New Roman"/>
        </w:rPr>
      </w:pPr>
      <w:bookmarkStart w:id="161" w:name="_GoBack"/>
      <w:r>
        <w:rPr>
          <w:rFonts w:hint="eastAsia" w:ascii="黑体" w:hAnsi="黑体" w:eastAsia="黑体" w:cs="黑体"/>
          <w:lang w:eastAsia="zh-CN"/>
        </w:rPr>
        <w:t>惠来县妇女</w:t>
      </w:r>
      <w:r>
        <w:rPr>
          <w:rFonts w:hint="eastAsia" w:ascii="黑体" w:hAnsi="黑体" w:eastAsia="黑体" w:cs="黑体"/>
        </w:rPr>
        <w:t>发展规划</w:t>
      </w:r>
    </w:p>
    <w:p>
      <w:pPr>
        <w:pStyle w:val="13"/>
        <w:ind w:firstLine="0" w:firstLineChars="0"/>
        <w:jc w:val="center"/>
        <w:rPr>
          <w:rFonts w:ascii="Times New Roman" w:hAnsi="Times New Roman" w:eastAsia="黑体" w:cs="Times New Roman"/>
          <w:sz w:val="52"/>
          <w:szCs w:val="52"/>
        </w:rPr>
      </w:pPr>
      <w:r>
        <w:rPr>
          <w:rFonts w:ascii="Times New Roman" w:hAnsi="Times New Roman" w:eastAsia="黑体" w:cs="Times New Roman"/>
          <w:sz w:val="52"/>
          <w:szCs w:val="52"/>
          <w:lang w:eastAsia="zh-CN"/>
        </w:rPr>
        <w:t xml:space="preserve">（2021—2030 </w:t>
      </w:r>
      <w:r>
        <w:rPr>
          <w:rFonts w:ascii="Times New Roman" w:hAnsi="Times New Roman" w:eastAsia="黑体" w:cs="Times New Roman"/>
          <w:sz w:val="52"/>
          <w:szCs w:val="52"/>
        </w:rPr>
        <w:t>年</w:t>
      </w:r>
      <w:r>
        <w:rPr>
          <w:rFonts w:ascii="Times New Roman" w:hAnsi="Times New Roman" w:eastAsia="黑体" w:cs="Times New Roman"/>
          <w:sz w:val="52"/>
          <w:szCs w:val="52"/>
          <w:lang w:eastAsia="zh-CN"/>
        </w:rPr>
        <w:t>）</w:t>
      </w:r>
    </w:p>
    <w:p>
      <w:pPr>
        <w:pStyle w:val="13"/>
        <w:ind w:firstLine="880"/>
        <w:rPr>
          <w:rFonts w:ascii="Times New Roman" w:hAnsi="Times New Roman" w:eastAsia="黑体" w:cs="Times New Roman"/>
          <w:sz w:val="44"/>
          <w:szCs w:val="44"/>
          <w:lang w:eastAsia="zh-CN"/>
        </w:rPr>
      </w:pPr>
    </w:p>
    <w:bookmarkEnd w:id="161"/>
    <w:p>
      <w:pPr>
        <w:pStyle w:val="14"/>
        <w:ind w:firstLine="640"/>
        <w:rPr>
          <w:rFonts w:cs="Times New Roman"/>
        </w:rPr>
      </w:pPr>
    </w:p>
    <w:p>
      <w:pPr>
        <w:pStyle w:val="14"/>
        <w:ind w:firstLine="640"/>
        <w:rPr>
          <w:rFonts w:cs="Times New Roman"/>
          <w:lang w:eastAsia="zh-CN"/>
        </w:rPr>
      </w:pPr>
    </w:p>
    <w:p>
      <w:pPr>
        <w:pStyle w:val="14"/>
        <w:ind w:firstLine="640"/>
        <w:rPr>
          <w:rFonts w:eastAsia="仿宋" w:cs="Times New Roman"/>
          <w:lang w:eastAsia="zh-CN"/>
        </w:rPr>
      </w:pPr>
    </w:p>
    <w:p>
      <w:pPr>
        <w:pStyle w:val="15"/>
        <w:spacing w:after="0" w:line="480" w:lineRule="auto"/>
        <w:ind w:firstLine="0" w:firstLineChars="0"/>
        <w:rPr>
          <w:rFonts w:ascii="Times New Roman" w:hAnsi="Times New Roman" w:eastAsia="仿宋" w:cs="Times New Roman"/>
          <w:b/>
          <w:bCs/>
        </w:rPr>
      </w:pPr>
    </w:p>
    <w:p>
      <w:pPr>
        <w:pStyle w:val="15"/>
        <w:spacing w:after="0" w:line="480" w:lineRule="auto"/>
        <w:ind w:firstLine="0" w:firstLineChars="0"/>
        <w:rPr>
          <w:rFonts w:ascii="Times New Roman" w:hAnsi="Times New Roman" w:eastAsia="仿宋" w:cs="Times New Roman"/>
          <w:b/>
          <w:bCs/>
        </w:rPr>
      </w:pPr>
    </w:p>
    <w:p>
      <w:pPr>
        <w:pStyle w:val="15"/>
        <w:spacing w:after="0" w:line="480" w:lineRule="auto"/>
        <w:ind w:firstLine="0" w:firstLineChars="0"/>
        <w:jc w:val="both"/>
        <w:rPr>
          <w:rFonts w:ascii="Times New Roman" w:hAnsi="Times New Roman" w:eastAsia="仿宋" w:cs="Times New Roman"/>
          <w:b/>
          <w:bCs/>
        </w:rPr>
      </w:pPr>
    </w:p>
    <w:p>
      <w:pPr>
        <w:pStyle w:val="15"/>
        <w:spacing w:after="0" w:line="480" w:lineRule="auto"/>
        <w:ind w:firstLine="0" w:firstLineChars="0"/>
        <w:jc w:val="both"/>
        <w:rPr>
          <w:rFonts w:ascii="Times New Roman" w:hAnsi="Times New Roman" w:eastAsia="仿宋" w:cs="Times New Roman"/>
          <w:b/>
          <w:bCs/>
        </w:rPr>
      </w:pPr>
    </w:p>
    <w:p>
      <w:pPr>
        <w:pStyle w:val="2"/>
        <w:keepNext w:val="0"/>
        <w:keepLines w:val="0"/>
        <w:pageBreakBefore w:val="0"/>
        <w:widowControl w:val="0"/>
        <w:kinsoku/>
        <w:wordWrap/>
        <w:overflowPunct/>
        <w:topLinePunct w:val="0"/>
        <w:autoSpaceDE/>
        <w:autoSpaceDN/>
        <w:bidi w:val="0"/>
        <w:adjustRightInd/>
        <w:snapToGrid w:val="0"/>
        <w:spacing w:line="560" w:lineRule="atLeast"/>
        <w:ind w:left="0"/>
        <w:jc w:val="center"/>
        <w:rPr>
          <w:rFonts w:hint="eastAsia" w:ascii="仿宋_GB2312" w:hAnsi="仿宋_GB2312" w:eastAsia="仿宋_GB2312" w:cs="仿宋_GB2312"/>
          <w:b w:val="0"/>
          <w:bCs/>
          <w:color w:val="auto"/>
          <w:spacing w:val="-11"/>
          <w:sz w:val="32"/>
          <w:szCs w:val="32"/>
          <w:u w:val="none"/>
          <w:lang w:val="en-US" w:eastAsia="zh-CN"/>
        </w:rPr>
      </w:pPr>
      <w:r>
        <w:rPr>
          <w:rFonts w:eastAsia="Times New Roman" w:cs="Times New Roman"/>
          <w:sz w:val="32"/>
          <w:szCs w:val="32"/>
        </w:rPr>
        <w:t>202</w:t>
      </w:r>
      <w:r>
        <w:rPr>
          <w:rFonts w:cs="Times New Roman"/>
          <w:sz w:val="32"/>
          <w:szCs w:val="32"/>
        </w:rPr>
        <w:t>2年</w:t>
      </w:r>
      <w:r>
        <w:rPr>
          <w:rFonts w:hint="eastAsia" w:cs="Times New Roman"/>
          <w:sz w:val="32"/>
          <w:szCs w:val="32"/>
          <w:lang w:val="en-US" w:eastAsia="zh-CN"/>
        </w:rPr>
        <w:t>8</w:t>
      </w:r>
      <w:r>
        <w:rPr>
          <w:rFonts w:cs="Times New Roman"/>
          <w:sz w:val="32"/>
          <w:szCs w:val="32"/>
        </w:rPr>
        <w:t>月</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_GB2312" w:hAnsi="仿宋_GB2312" w:eastAsia="仿宋_GB2312" w:cs="仿宋_GB2312"/>
          <w:b w:val="0"/>
          <w:bCs/>
          <w:color w:val="auto"/>
          <w:sz w:val="32"/>
          <w:szCs w:val="32"/>
          <w:u w:val="none"/>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numPr>
          <w:ilvl w:val="0"/>
          <w:numId w:val="0"/>
        </w:numPr>
        <w:ind w:left="980" w:leftChars="0"/>
        <w:jc w:val="center"/>
        <w:rPr>
          <w:rFonts w:hint="eastAsia" w:ascii="Times New Roman" w:hAnsi="Times New Roman" w:eastAsia="黑体" w:cs="Times New Roman"/>
          <w:color w:val="auto"/>
          <w:kern w:val="44"/>
          <w:sz w:val="32"/>
          <w:szCs w:val="24"/>
          <w:lang w:val="en-US" w:eastAsia="zh-CN" w:bidi="ar-SA"/>
        </w:rPr>
      </w:pPr>
      <w:bookmarkStart w:id="0" w:name="_Toc29216"/>
      <w:bookmarkStart w:id="1" w:name="_Toc10101"/>
      <w:bookmarkStart w:id="2" w:name="_Toc3572"/>
      <w:r>
        <w:rPr>
          <w:rFonts w:ascii="Times New Roman" w:hAnsi="Times New Roman" w:cs="Times New Roman" w:eastAsiaTheme="majorEastAsia"/>
          <w:b/>
          <w:bCs/>
          <w:sz w:val="44"/>
          <w:szCs w:val="44"/>
          <w:lang w:eastAsia="zh-CN"/>
        </w:rPr>
        <w:t>目</w:t>
      </w:r>
      <w:r>
        <w:rPr>
          <w:rFonts w:ascii="Times New Roman" w:hAnsi="Times New Roman" w:cs="Times New Roman" w:eastAsiaTheme="majorEastAsia"/>
          <w:b/>
          <w:bCs/>
          <w:sz w:val="44"/>
          <w:szCs w:val="44"/>
          <w:lang w:val="en-US" w:eastAsia="zh-CN"/>
        </w:rPr>
        <w:t xml:space="preserve"> </w:t>
      </w:r>
      <w:r>
        <w:rPr>
          <w:rFonts w:ascii="Times New Roman" w:hAnsi="Times New Roman" w:cs="Times New Roman" w:eastAsiaTheme="majorEastAsia"/>
          <w:b/>
          <w:bCs/>
          <w:sz w:val="44"/>
          <w:szCs w:val="44"/>
          <w:lang w:eastAsia="zh-CN"/>
        </w:rPr>
        <w:t>录</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44"/>
          <w:sz w:val="32"/>
          <w:szCs w:val="24"/>
          <w:lang w:val="en-US" w:eastAsia="zh-CN" w:bidi="ar-SA"/>
        </w:rPr>
      </w:pPr>
      <w:r>
        <w:rPr>
          <w:rFonts w:hint="eastAsia" w:ascii="Times New Roman" w:hAnsi="Times New Roman" w:eastAsia="黑体" w:cs="Times New Roman"/>
          <w:color w:val="auto"/>
          <w:kern w:val="44"/>
          <w:sz w:val="32"/>
          <w:szCs w:val="24"/>
          <w:lang w:val="en-US" w:eastAsia="zh-CN" w:bidi="ar-SA"/>
        </w:rPr>
        <w:t>一、</w:t>
      </w:r>
      <w:r>
        <w:rPr>
          <w:rFonts w:ascii="Times New Roman" w:hAnsi="Times New Roman" w:eastAsia="黑体" w:cs="Times New Roman"/>
          <w:color w:val="auto"/>
          <w:kern w:val="44"/>
          <w:sz w:val="32"/>
          <w:szCs w:val="24"/>
          <w:lang w:val="en-US" w:eastAsia="zh-CN" w:bidi="ar-SA"/>
        </w:rPr>
        <w:t>总体要求</w:t>
      </w:r>
      <w:bookmarkEnd w:id="0"/>
      <w:bookmarkEnd w:id="1"/>
      <w:bookmarkEnd w:id="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5</w:t>
      </w:r>
      <w:r>
        <w:rPr>
          <w:rFonts w:hint="eastAsia" w:ascii="FZSSJW--GB1-0" w:hAnsi="FZSSJW--GB1-0" w:eastAsia="FZSSJW--GB1-0" w:cs="FZSSJW--GB1-0"/>
          <w:color w:val="231F20"/>
          <w:kern w:val="0"/>
          <w:sz w:val="22"/>
          <w:szCs w:val="22"/>
          <w:lang w:val="en-US" w:eastAsia="zh-CN" w:bidi="ar"/>
        </w:rPr>
        <w:t xml:space="preserve">     </w:t>
      </w:r>
    </w:p>
    <w:p>
      <w:pPr>
        <w:pStyle w:val="4"/>
        <w:pageBreakBefore w:val="0"/>
        <w:widowControl w:val="0"/>
        <w:numPr>
          <w:ilvl w:val="0"/>
          <w:numId w:val="1"/>
        </w:numPr>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bookmarkStart w:id="3" w:name="_Toc23340"/>
      <w:bookmarkStart w:id="4" w:name="_Toc10847"/>
      <w:bookmarkStart w:id="5" w:name="_Toc18430"/>
      <w:r>
        <w:rPr>
          <w:rFonts w:hint="eastAsia" w:ascii="楷体" w:hAnsi="楷体" w:eastAsia="楷体" w:cs="楷体"/>
          <w:b w:val="0"/>
          <w:bCs/>
        </w:rPr>
        <w:t>指导</w:t>
      </w:r>
      <w:bookmarkEnd w:id="3"/>
      <w:bookmarkStart w:id="6" w:name="_Toc26548"/>
      <w:r>
        <w:rPr>
          <w:rFonts w:hint="eastAsia" w:ascii="楷体" w:hAnsi="楷体" w:eastAsia="楷体" w:cs="楷体"/>
          <w:b w:val="0"/>
          <w:bCs/>
        </w:rPr>
        <w:t>思想</w:t>
      </w:r>
      <w:bookmarkEnd w:id="4"/>
      <w:bookmarkEnd w:id="5"/>
      <w:bookmarkEnd w:id="6"/>
      <w:bookmarkStart w:id="7" w:name="_Toc14848"/>
      <w:bookmarkStart w:id="8" w:name="_Toc14141"/>
      <w:bookmarkStart w:id="9" w:name="_Toc18803"/>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w:t>
      </w:r>
    </w:p>
    <w:p>
      <w:pPr>
        <w:pStyle w:val="4"/>
        <w:pageBreakBefore w:val="0"/>
        <w:widowControl w:val="0"/>
        <w:numPr>
          <w:ilvl w:val="0"/>
          <w:numId w:val="1"/>
        </w:numPr>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总体目标</w:t>
      </w:r>
      <w:bookmarkEnd w:id="7"/>
      <w:bookmarkEnd w:id="8"/>
      <w:bookmarkEnd w:id="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cs="Times New Roman"/>
          <w:b/>
          <w:bCs/>
          <w:lang w:val="en-US"/>
        </w:rPr>
      </w:pPr>
      <w:bookmarkStart w:id="10" w:name="_Toc20131"/>
      <w:bookmarkStart w:id="11" w:name="_Toc12310"/>
      <w:bookmarkStart w:id="12" w:name="_Toc1137"/>
      <w:r>
        <w:rPr>
          <w:rFonts w:cs="Times New Roman"/>
          <w:lang w:val="zh-CN"/>
        </w:rPr>
        <w:t>二、</w:t>
      </w:r>
      <w:r>
        <w:rPr>
          <w:rFonts w:cs="Times New Roman"/>
        </w:rPr>
        <w:t>发展领域、主要目标和策略措施</w:t>
      </w:r>
      <w:bookmarkEnd w:id="10"/>
      <w:bookmarkEnd w:id="11"/>
      <w:bookmarkEnd w:id="1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6</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bookmarkStart w:id="13" w:name="_Toc21654"/>
      <w:bookmarkStart w:id="14" w:name="_Toc7832"/>
      <w:bookmarkStart w:id="15" w:name="_Toc13021"/>
      <w:r>
        <w:rPr>
          <w:rFonts w:hint="eastAsia" w:ascii="楷体" w:hAnsi="楷体" w:eastAsia="楷体" w:cs="楷体"/>
          <w:b w:val="0"/>
          <w:bCs/>
        </w:rPr>
        <w:t>（一）妇女与健康</w:t>
      </w:r>
      <w:bookmarkEnd w:id="13"/>
      <w:bookmarkEnd w:id="14"/>
      <w:bookmarkEnd w:id="1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6</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w:t>
      </w:r>
      <w:r>
        <w:rPr>
          <w:rFonts w:hint="eastAsia" w:ascii="楷体" w:hAnsi="楷体" w:eastAsia="楷体" w:cs="楷体"/>
          <w:b w:val="0"/>
          <w:bCs/>
          <w:lang w:val="en-US" w:eastAsia="zh-CN"/>
        </w:rPr>
        <w:t>二</w:t>
      </w:r>
      <w:r>
        <w:rPr>
          <w:rFonts w:hint="eastAsia" w:ascii="楷体" w:hAnsi="楷体" w:eastAsia="楷体" w:cs="楷体"/>
          <w:b w:val="0"/>
          <w:bCs/>
        </w:rPr>
        <w:t>）妇女与教育</w:t>
      </w:r>
      <w:bookmarkStart w:id="16" w:name="_Toc30290"/>
      <w:bookmarkStart w:id="17" w:name="_Toc19625"/>
      <w:bookmarkStart w:id="18" w:name="_Toc1954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12</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（三）妇女与经济</w:t>
      </w:r>
      <w:bookmarkEnd w:id="16"/>
      <w:bookmarkEnd w:id="17"/>
      <w:bookmarkEnd w:id="18"/>
      <w:bookmarkStart w:id="19" w:name="_Toc20417"/>
      <w:bookmarkStart w:id="20" w:name="_Toc24740"/>
      <w:bookmarkStart w:id="21" w:name="_Toc2157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16</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（四）妇女参与决策和管理</w:t>
      </w:r>
      <w:bookmarkEnd w:id="19"/>
      <w:bookmarkEnd w:id="20"/>
      <w:bookmarkEnd w:id="21"/>
      <w:bookmarkStart w:id="22" w:name="_Toc31159"/>
      <w:bookmarkStart w:id="23" w:name="_Toc17119"/>
      <w:bookmarkStart w:id="24" w:name="_Toc19833"/>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21</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（五）妇女与社会保障</w:t>
      </w:r>
      <w:bookmarkEnd w:id="22"/>
      <w:bookmarkEnd w:id="23"/>
      <w:bookmarkEnd w:id="24"/>
      <w:r>
        <w:rPr>
          <w:rFonts w:hint="eastAsia" w:ascii="楷体" w:hAnsi="楷体" w:eastAsia="楷体" w:cs="楷体"/>
          <w:b w:val="0"/>
          <w:bCs/>
          <w:lang w:val="en-US" w:eastAsia="zh-CN"/>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25</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eastAsia="zh-CN"/>
        </w:rPr>
      </w:pPr>
      <w:r>
        <w:rPr>
          <w:rFonts w:hint="eastAsia" w:ascii="楷体" w:hAnsi="楷体" w:eastAsia="楷体" w:cs="楷体"/>
          <w:b w:val="0"/>
          <w:bCs/>
        </w:rPr>
        <w:t>（</w:t>
      </w:r>
      <w:r>
        <w:rPr>
          <w:rFonts w:hint="eastAsia" w:ascii="楷体" w:hAnsi="楷体" w:eastAsia="楷体" w:cs="楷体"/>
          <w:b w:val="0"/>
          <w:bCs/>
          <w:lang w:val="en-US" w:eastAsia="zh-CN"/>
        </w:rPr>
        <w:t>六</w:t>
      </w:r>
      <w:r>
        <w:rPr>
          <w:rFonts w:hint="eastAsia" w:ascii="楷体" w:hAnsi="楷体" w:eastAsia="楷体" w:cs="楷体"/>
          <w:b w:val="0"/>
          <w:bCs/>
        </w:rPr>
        <w:t>）妇女与</w:t>
      </w:r>
      <w:r>
        <w:rPr>
          <w:rFonts w:hint="eastAsia" w:ascii="楷体" w:hAnsi="楷体" w:eastAsia="楷体" w:cs="楷体"/>
          <w:b w:val="0"/>
          <w:bCs/>
          <w:lang w:val="en-US" w:eastAsia="zh-CN"/>
        </w:rPr>
        <w:t>家庭建设</w:t>
      </w:r>
      <w:bookmarkStart w:id="25" w:name="_Toc19133"/>
      <w:bookmarkStart w:id="26" w:name="_Toc146"/>
      <w:bookmarkStart w:id="27" w:name="_Toc30566"/>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29</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（七）妇女与环境</w:t>
      </w:r>
      <w:bookmarkEnd w:id="25"/>
      <w:bookmarkEnd w:id="26"/>
      <w:bookmarkEnd w:id="27"/>
      <w:bookmarkStart w:id="28" w:name="_Toc2180"/>
      <w:bookmarkStart w:id="29" w:name="_Toc959"/>
      <w:bookmarkStart w:id="30" w:name="_Toc22022"/>
      <w:r>
        <w:rPr>
          <w:rFonts w:hint="eastAsia" w:ascii="楷体" w:hAnsi="楷体" w:eastAsia="楷体" w:cs="楷体"/>
          <w:b w:val="0"/>
          <w:bCs/>
          <w:lang w:val="en-US" w:eastAsia="zh-CN"/>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35</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r>
        <w:rPr>
          <w:rFonts w:hint="eastAsia" w:ascii="楷体" w:hAnsi="楷体" w:eastAsia="楷体" w:cs="楷体"/>
          <w:b w:val="0"/>
          <w:bCs/>
        </w:rPr>
        <w:t>（八）妇女与法律</w:t>
      </w:r>
      <w:bookmarkEnd w:id="28"/>
      <w:bookmarkEnd w:id="29"/>
      <w:bookmarkEnd w:id="3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38</w:t>
      </w:r>
    </w:p>
    <w:p>
      <w:pPr>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rPr>
      </w:pPr>
      <w:bookmarkStart w:id="31" w:name="_Toc4335"/>
      <w:bookmarkStart w:id="32" w:name="_Toc17287"/>
      <w:bookmarkStart w:id="33" w:name="_Toc14384"/>
      <w:r>
        <w:rPr>
          <w:rFonts w:hint="eastAsia" w:ascii="黑体" w:hAnsi="黑体" w:eastAsia="黑体" w:cs="黑体"/>
        </w:rPr>
        <w:t>三、重点工程</w:t>
      </w:r>
      <w:bookmarkEnd w:id="31"/>
      <w:bookmarkEnd w:id="32"/>
      <w:bookmarkEnd w:id="33"/>
      <w:bookmarkStart w:id="34" w:name="_Toc4595"/>
      <w:bookmarkStart w:id="35" w:name="_Toc1562"/>
      <w:bookmarkStart w:id="36" w:name="_Toc16961"/>
      <w:r>
        <w:rPr>
          <w:rFonts w:hint="eastAsia" w:ascii="黑体" w:hAnsi="黑体" w:eastAsia="黑体" w:cs="黑体"/>
          <w:lang w:val="en-US" w:eastAsia="zh-CN"/>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44</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（一）南粤妇幼健康保护工程</w:t>
      </w:r>
      <w:bookmarkEnd w:id="34"/>
      <w:bookmarkEnd w:id="35"/>
      <w:bookmarkEnd w:id="36"/>
      <w:bookmarkStart w:id="37" w:name="_Toc85"/>
      <w:bookmarkStart w:id="38" w:name="_Toc16453"/>
      <w:bookmarkStart w:id="39" w:name="_Toc2107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44</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（二）南粤巾帼家政领跑者工程</w:t>
      </w:r>
      <w:bookmarkEnd w:id="37"/>
      <w:bookmarkEnd w:id="38"/>
      <w:bookmarkEnd w:id="39"/>
      <w:bookmarkStart w:id="40" w:name="_Toc13812"/>
      <w:bookmarkStart w:id="41" w:name="_Toc24433"/>
      <w:bookmarkStart w:id="42" w:name="_Toc602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44</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（三）妇女就业创业支持工程</w:t>
      </w:r>
      <w:bookmarkEnd w:id="40"/>
      <w:bookmarkEnd w:id="41"/>
      <w:bookmarkEnd w:id="42"/>
      <w:bookmarkStart w:id="43" w:name="_Toc24002"/>
      <w:bookmarkStart w:id="44" w:name="_Toc9994"/>
      <w:bookmarkStart w:id="45" w:name="_Toc2170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45</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（四）南粤巾帼乡村振兴工程</w:t>
      </w:r>
      <w:bookmarkEnd w:id="43"/>
      <w:bookmarkEnd w:id="44"/>
      <w:bookmarkEnd w:id="45"/>
      <w:bookmarkStart w:id="46" w:name="_Toc23716"/>
      <w:bookmarkStart w:id="47" w:name="_Toc29537"/>
      <w:bookmarkStart w:id="48" w:name="_Toc1146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45</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（五）南粤家家幸福安康工程</w:t>
      </w:r>
      <w:bookmarkEnd w:id="46"/>
      <w:bookmarkEnd w:id="47"/>
      <w:bookmarkEnd w:id="48"/>
      <w:bookmarkStart w:id="49" w:name="_Toc19090"/>
      <w:bookmarkStart w:id="50" w:name="_Toc24671"/>
      <w:bookmarkStart w:id="51" w:name="_Toc3027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46</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（六）公共场所母婴室建设工程</w:t>
      </w:r>
      <w:bookmarkEnd w:id="49"/>
      <w:bookmarkEnd w:id="50"/>
      <w:bookmarkEnd w:id="51"/>
      <w:bookmarkStart w:id="52" w:name="_Toc31330"/>
      <w:bookmarkStart w:id="53" w:name="_Toc25546"/>
      <w:bookmarkStart w:id="54" w:name="_Toc861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47</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lang w:val="en-US"/>
        </w:rPr>
      </w:pPr>
      <w:r>
        <w:rPr>
          <w:rFonts w:hint="eastAsia" w:ascii="楷体" w:hAnsi="楷体" w:eastAsia="楷体" w:cs="楷体"/>
          <w:b w:val="0"/>
          <w:bCs/>
          <w:lang w:val="zh-TW"/>
        </w:rPr>
        <w:t>（七）南粤巾帼志愿服务关爱工程</w:t>
      </w:r>
      <w:bookmarkEnd w:id="52"/>
      <w:bookmarkEnd w:id="53"/>
      <w:bookmarkEnd w:id="54"/>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47</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eastAsia" w:ascii="仿宋_GB2312" w:hAnsi="仿宋_GB2312" w:eastAsia="仿宋_GB2312" w:cs="仿宋_GB2312"/>
          <w:sz w:val="32"/>
          <w:szCs w:val="32"/>
          <w:lang w:val="en-US"/>
        </w:rPr>
      </w:pPr>
      <w:bookmarkStart w:id="55" w:name="_Toc395"/>
      <w:bookmarkStart w:id="56" w:name="_Toc21210"/>
      <w:bookmarkStart w:id="57" w:name="_Toc13749"/>
      <w:r>
        <w:rPr>
          <w:rFonts w:cs="Times New Roman"/>
        </w:rPr>
        <w:t>四、</w:t>
      </w:r>
      <w:r>
        <w:rPr>
          <w:rFonts w:cs="Times New Roman"/>
          <w:lang w:val="zh-CN"/>
        </w:rPr>
        <w:t>组</w:t>
      </w:r>
      <w:r>
        <w:rPr>
          <w:rFonts w:cs="Times New Roman"/>
        </w:rPr>
        <w:t>织实施</w:t>
      </w:r>
      <w:bookmarkEnd w:id="55"/>
      <w:bookmarkEnd w:id="56"/>
      <w:bookmarkEnd w:id="57"/>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47</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bookmarkStart w:id="58" w:name="_Toc29882"/>
      <w:bookmarkStart w:id="59" w:name="_Toc30473"/>
      <w:r>
        <w:rPr>
          <w:rFonts w:hint="eastAsia" w:ascii="楷体" w:hAnsi="楷体" w:eastAsia="楷体" w:cs="楷体"/>
          <w:b w:val="0"/>
          <w:bCs/>
          <w:lang w:val="zh-TW"/>
        </w:rPr>
        <w:t>（一）坚持党的全面领导</w:t>
      </w:r>
      <w:bookmarkEnd w:id="58"/>
      <w:bookmarkEnd w:id="5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47</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rPr>
      </w:pPr>
      <w:bookmarkStart w:id="60" w:name="_Toc23498"/>
      <w:bookmarkStart w:id="61" w:name="_Toc11754"/>
      <w:r>
        <w:rPr>
          <w:rFonts w:hint="eastAsia" w:ascii="楷体" w:hAnsi="楷体" w:eastAsia="楷体" w:cs="楷体"/>
          <w:b w:val="0"/>
          <w:bCs/>
          <w:lang w:val="zh-TW"/>
        </w:rPr>
        <w:t>（二）落实规划实施责任</w:t>
      </w:r>
      <w:bookmarkEnd w:id="60"/>
      <w:bookmarkEnd w:id="61"/>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48</w:t>
      </w:r>
    </w:p>
    <w:p>
      <w:pPr>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b w:val="0"/>
          <w:bCs w:val="0"/>
          <w:szCs w:val="28"/>
          <w:lang w:val="en-US" w:bidi="zh-TW"/>
        </w:rPr>
      </w:pPr>
      <w:bookmarkStart w:id="62" w:name="_Toc32301"/>
      <w:bookmarkStart w:id="63" w:name="_Toc13039"/>
      <w:r>
        <w:rPr>
          <w:rFonts w:hint="eastAsia" w:ascii="楷体" w:hAnsi="楷体" w:eastAsia="楷体" w:cs="楷体"/>
          <w:b w:val="0"/>
          <w:bCs w:val="0"/>
          <w:szCs w:val="28"/>
          <w:lang w:val="zh-TW" w:bidi="zh-TW"/>
        </w:rPr>
        <w:t>（三）加强规划与</w:t>
      </w:r>
      <w:r>
        <w:rPr>
          <w:rFonts w:hint="eastAsia" w:ascii="楷体" w:hAnsi="楷体" w:eastAsia="楷体" w:cs="楷体"/>
          <w:b w:val="0"/>
          <w:bCs w:val="0"/>
          <w:szCs w:val="28"/>
          <w:lang w:bidi="zh-TW"/>
        </w:rPr>
        <w:t>惠来</w:t>
      </w:r>
      <w:r>
        <w:rPr>
          <w:rFonts w:hint="eastAsia" w:ascii="楷体" w:hAnsi="楷体" w:eastAsia="楷体" w:cs="楷体"/>
          <w:b w:val="0"/>
          <w:bCs w:val="0"/>
          <w:szCs w:val="28"/>
          <w:lang w:val="zh-TW" w:bidi="zh-TW"/>
        </w:rPr>
        <w:t>经济和社会发展规划的衔接</w:t>
      </w:r>
      <w:bookmarkEnd w:id="62"/>
      <w:bookmarkEnd w:id="63"/>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48</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64" w:name="_Toc20770"/>
      <w:bookmarkStart w:id="65" w:name="_Toc24045"/>
      <w:r>
        <w:rPr>
          <w:rFonts w:hint="eastAsia" w:ascii="楷体" w:hAnsi="楷体" w:eastAsia="楷体" w:cs="楷体"/>
          <w:b w:val="0"/>
          <w:bCs w:val="0"/>
          <w:szCs w:val="28"/>
          <w:lang w:val="zh-TW" w:bidi="zh-TW"/>
        </w:rPr>
        <w:t>（四）制定地方妇女发展规划和部门实施方案</w:t>
      </w:r>
      <w:bookmarkEnd w:id="64"/>
      <w:bookmarkEnd w:id="6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48</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66" w:name="_Toc2912"/>
      <w:bookmarkStart w:id="67" w:name="_Toc26040"/>
      <w:r>
        <w:rPr>
          <w:rFonts w:hint="eastAsia" w:ascii="楷体" w:hAnsi="楷体" w:eastAsia="楷体" w:cs="楷体"/>
          <w:b w:val="0"/>
          <w:bCs w:val="0"/>
          <w:szCs w:val="28"/>
          <w:lang w:val="zh-TW" w:bidi="zh-TW"/>
        </w:rPr>
        <w:t>（五）完善实施规划的制度机制</w:t>
      </w:r>
      <w:bookmarkEnd w:id="66"/>
      <w:bookmarkEnd w:id="67"/>
      <w:r>
        <w:rPr>
          <w:rFonts w:hint="eastAsia" w:ascii="楷体" w:hAnsi="楷体" w:eastAsia="楷体" w:cs="楷体"/>
          <w:b w:val="0"/>
          <w:bCs w:val="0"/>
          <w:szCs w:val="28"/>
          <w:lang w:val="en-US" w:eastAsia="zh-CN" w:bidi="zh-TW"/>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w:t>
      </w:r>
      <w:r>
        <w:rPr>
          <w:rFonts w:hint="eastAsia" w:ascii="仿宋_GB2312" w:hAnsi="仿宋_GB2312" w:cs="仿宋_GB2312"/>
          <w:b w:val="0"/>
          <w:color w:val="231F20"/>
          <w:kern w:val="0"/>
          <w:sz w:val="32"/>
          <w:szCs w:val="32"/>
          <w:lang w:val="en-US" w:eastAsia="zh-CN" w:bidi="ar"/>
        </w:rPr>
        <w:t>9</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68" w:name="_Toc13704"/>
      <w:bookmarkStart w:id="69" w:name="_Toc30899"/>
      <w:r>
        <w:rPr>
          <w:rFonts w:hint="eastAsia" w:ascii="楷体" w:hAnsi="楷体" w:eastAsia="楷体" w:cs="楷体"/>
          <w:b w:val="0"/>
          <w:bCs w:val="0"/>
          <w:szCs w:val="28"/>
          <w:lang w:val="zh-TW" w:bidi="zh-TW"/>
        </w:rPr>
        <w:t>（六）保障妇女发展经费投入</w:t>
      </w:r>
      <w:bookmarkEnd w:id="68"/>
      <w:bookmarkEnd w:id="6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49</w:t>
      </w:r>
    </w:p>
    <w:p>
      <w:pPr>
        <w:pStyle w:val="5"/>
        <w:pageBreakBefore w:val="0"/>
        <w:widowControl w:val="0"/>
        <w:kinsoku/>
        <w:wordWrap/>
        <w:overflowPunct/>
        <w:topLinePunct w:val="0"/>
        <w:autoSpaceDE/>
        <w:autoSpaceDN/>
        <w:bidi w:val="0"/>
        <w:adjustRightInd/>
        <w:snapToGrid/>
        <w:spacing w:after="0" w:line="560" w:lineRule="exact"/>
        <w:textAlignment w:val="auto"/>
        <w:rPr>
          <w:rFonts w:hint="default"/>
          <w:lang w:val="en-US"/>
        </w:rPr>
      </w:pPr>
      <w:bookmarkStart w:id="70" w:name="_Toc3298"/>
      <w:bookmarkStart w:id="71" w:name="_Toc15249"/>
      <w:r>
        <w:rPr>
          <w:rFonts w:hint="eastAsia" w:ascii="楷体" w:hAnsi="楷体" w:eastAsia="楷体" w:cs="楷体"/>
          <w:b w:val="0"/>
          <w:bCs w:val="0"/>
          <w:szCs w:val="28"/>
          <w:lang w:val="zh-TW" w:bidi="zh-TW"/>
        </w:rPr>
        <w:t>（七）坚持和创新实施规划的有效做法</w:t>
      </w:r>
      <w:bookmarkEnd w:id="70"/>
      <w:bookmarkEnd w:id="71"/>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49</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72" w:name="_Toc11894"/>
      <w:bookmarkStart w:id="73" w:name="_Toc17487"/>
      <w:r>
        <w:rPr>
          <w:rFonts w:hint="eastAsia" w:ascii="楷体" w:hAnsi="楷体" w:eastAsia="楷体" w:cs="楷体"/>
          <w:b w:val="0"/>
          <w:bCs w:val="0"/>
          <w:szCs w:val="28"/>
          <w:lang w:val="zh-TW" w:bidi="zh-TW"/>
        </w:rPr>
        <w:t>（八）加强实施规划能力建设</w:t>
      </w:r>
      <w:bookmarkEnd w:id="72"/>
      <w:bookmarkEnd w:id="73"/>
      <w:r>
        <w:rPr>
          <w:rFonts w:ascii="FZSSJW--GB1-0" w:hAnsi="FZSSJW--GB1-0" w:eastAsia="FZSSJW--GB1-0" w:cs="FZSSJW--GB1-0"/>
          <w:color w:val="231F20"/>
          <w:kern w:val="0"/>
          <w:sz w:val="22"/>
          <w:szCs w:val="22"/>
          <w:lang w:val="en-US" w:eastAsia="zh-CN" w:bidi="ar"/>
        </w:rPr>
        <w:t>……………………………………………………</w:t>
      </w:r>
      <w:r>
        <w:rPr>
          <w:rFonts w:hint="eastAsia" w:ascii="仿宋_GB2312" w:hAnsi="仿宋_GB2312" w:cs="仿宋_GB2312"/>
          <w:b w:val="0"/>
          <w:color w:val="231F20"/>
          <w:kern w:val="0"/>
          <w:sz w:val="32"/>
          <w:szCs w:val="32"/>
          <w:lang w:val="en-US" w:eastAsia="zh-CN" w:bidi="ar"/>
        </w:rPr>
        <w:t>50</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仿宋_GB2312" w:hAnsi="仿宋_GB2312" w:eastAsia="仿宋_GB2312" w:cs="仿宋_GB2312"/>
          <w:b w:val="0"/>
          <w:color w:val="231F20"/>
          <w:kern w:val="0"/>
          <w:sz w:val="32"/>
          <w:szCs w:val="32"/>
          <w:lang w:val="en-US" w:eastAsia="zh-CN" w:bidi="ar"/>
        </w:rPr>
      </w:pPr>
      <w:bookmarkStart w:id="74" w:name="_Toc26826"/>
      <w:bookmarkStart w:id="75" w:name="_Toc22135"/>
      <w:r>
        <w:rPr>
          <w:rFonts w:hint="eastAsia" w:ascii="楷体" w:hAnsi="楷体" w:eastAsia="楷体" w:cs="楷体"/>
          <w:b w:val="0"/>
          <w:bCs w:val="0"/>
          <w:szCs w:val="28"/>
          <w:lang w:val="zh-TW" w:bidi="zh-TW"/>
        </w:rPr>
        <w:t>（九）加大实施规划宣传力度</w:t>
      </w:r>
      <w:bookmarkEnd w:id="74"/>
      <w:bookmarkEnd w:id="7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50</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76" w:name="_Toc27991"/>
      <w:bookmarkStart w:id="77" w:name="_Toc26370"/>
      <w:r>
        <w:rPr>
          <w:rFonts w:hint="eastAsia" w:ascii="楷体" w:hAnsi="楷体" w:eastAsia="楷体" w:cs="楷体"/>
          <w:b w:val="0"/>
          <w:bCs w:val="0"/>
          <w:szCs w:val="28"/>
          <w:lang w:val="zh-TW" w:bidi="zh-TW"/>
        </w:rPr>
        <w:t>（十）加强妇女发展调查研究</w:t>
      </w:r>
      <w:bookmarkEnd w:id="76"/>
      <w:bookmarkEnd w:id="77"/>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50</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78" w:name="_Toc1424"/>
      <w:bookmarkStart w:id="79" w:name="_Toc2369"/>
      <w:r>
        <w:rPr>
          <w:rFonts w:hint="eastAsia" w:ascii="楷体" w:hAnsi="楷体" w:eastAsia="楷体" w:cs="楷体"/>
          <w:b w:val="0"/>
          <w:bCs w:val="0"/>
          <w:szCs w:val="28"/>
          <w:lang w:val="zh-TW" w:bidi="zh-TW"/>
        </w:rPr>
        <w:t>（十一）鼓励社会各界广泛参与规划实施</w:t>
      </w:r>
      <w:bookmarkEnd w:id="78"/>
      <w:bookmarkEnd w:id="7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50</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cs="Times New Roman"/>
          <w:lang w:val="en-US"/>
        </w:rPr>
      </w:pPr>
      <w:bookmarkStart w:id="80" w:name="_Toc12435"/>
      <w:bookmarkStart w:id="81" w:name="_Toc2488"/>
      <w:bookmarkStart w:id="82" w:name="_Toc11346"/>
      <w:r>
        <w:rPr>
          <w:rFonts w:cs="Times New Roman"/>
        </w:rPr>
        <w:t>五、监测评估</w:t>
      </w:r>
      <w:bookmarkEnd w:id="80"/>
      <w:bookmarkEnd w:id="81"/>
      <w:bookmarkEnd w:id="8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51</w:t>
      </w:r>
    </w:p>
    <w:p>
      <w:pPr>
        <w:pageBreakBefore w:val="0"/>
        <w:widowControl w:val="0"/>
        <w:kinsoku/>
        <w:wordWrap/>
        <w:overflowPunct/>
        <w:topLinePunct w:val="0"/>
        <w:autoSpaceDE/>
        <w:autoSpaceDN/>
        <w:bidi w:val="0"/>
        <w:adjustRightInd/>
        <w:snapToGrid/>
        <w:spacing w:line="560" w:lineRule="exact"/>
        <w:ind w:firstLine="643"/>
        <w:textAlignment w:val="auto"/>
        <w:outlineLvl w:val="1"/>
        <w:rPr>
          <w:rFonts w:hint="default" w:ascii="楷体" w:hAnsi="楷体" w:eastAsia="楷体" w:cs="楷体"/>
          <w:b w:val="0"/>
          <w:bCs w:val="0"/>
          <w:szCs w:val="28"/>
          <w:lang w:val="en-US" w:bidi="zh-TW"/>
        </w:rPr>
      </w:pPr>
      <w:bookmarkStart w:id="83" w:name="_Toc7844"/>
      <w:bookmarkStart w:id="84" w:name="_Toc7030"/>
      <w:bookmarkStart w:id="85" w:name="_Toc21861"/>
      <w:r>
        <w:rPr>
          <w:rFonts w:hint="eastAsia" w:ascii="楷体" w:hAnsi="楷体" w:eastAsia="楷体" w:cs="楷体"/>
          <w:b w:val="0"/>
          <w:bCs w:val="0"/>
          <w:szCs w:val="28"/>
          <w:lang w:val="zh-TW" w:bidi="zh-TW"/>
        </w:rPr>
        <w:t>（一）加强监测评估制度建设</w:t>
      </w:r>
      <w:bookmarkEnd w:id="83"/>
      <w:bookmarkEnd w:id="84"/>
      <w:bookmarkEnd w:id="8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51</w:t>
      </w:r>
    </w:p>
    <w:p>
      <w:pPr>
        <w:pStyle w:val="4"/>
        <w:pageBreakBefore w:val="0"/>
        <w:widowControl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szCs w:val="32"/>
          <w:lang w:val="en-US"/>
        </w:rPr>
      </w:pPr>
      <w:bookmarkStart w:id="86" w:name="_Toc4749"/>
      <w:bookmarkStart w:id="87" w:name="_Toc32585"/>
      <w:bookmarkStart w:id="88" w:name="_Toc18661"/>
      <w:r>
        <w:rPr>
          <w:rFonts w:hint="eastAsia" w:ascii="楷体" w:hAnsi="楷体" w:eastAsia="楷体" w:cs="楷体"/>
          <w:b w:val="0"/>
          <w:bCs/>
          <w:szCs w:val="32"/>
          <w:lang w:val="zh-TW"/>
        </w:rPr>
        <w:t>（二）加强监测评估工作组织领导</w:t>
      </w:r>
      <w:bookmarkEnd w:id="86"/>
      <w:bookmarkEnd w:id="87"/>
      <w:bookmarkEnd w:id="88"/>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51</w:t>
      </w:r>
    </w:p>
    <w:p>
      <w:pPr>
        <w:pStyle w:val="5"/>
        <w:pageBreakBefore w:val="0"/>
        <w:widowControl w:val="0"/>
        <w:kinsoku/>
        <w:wordWrap/>
        <w:overflowPunct/>
        <w:topLinePunct w:val="0"/>
        <w:autoSpaceDE/>
        <w:autoSpaceDN/>
        <w:bidi w:val="0"/>
        <w:adjustRightInd/>
        <w:snapToGrid/>
        <w:spacing w:after="0" w:line="560" w:lineRule="exact"/>
        <w:textAlignment w:val="auto"/>
        <w:rPr>
          <w:rFonts w:hint="default" w:ascii="楷体" w:hAnsi="楷体" w:eastAsia="楷体" w:cs="楷体"/>
          <w:b w:val="0"/>
          <w:bCs/>
          <w:szCs w:val="32"/>
          <w:lang w:val="en-US"/>
        </w:rPr>
      </w:pPr>
      <w:bookmarkStart w:id="89" w:name="_Toc15990"/>
      <w:bookmarkStart w:id="90" w:name="_Toc31605"/>
      <w:bookmarkStart w:id="91" w:name="_Toc21380"/>
      <w:r>
        <w:rPr>
          <w:rFonts w:hint="eastAsia" w:ascii="楷体" w:hAnsi="楷体" w:eastAsia="楷体" w:cs="楷体"/>
          <w:b w:val="0"/>
          <w:bCs/>
          <w:szCs w:val="32"/>
          <w:lang w:val="zh-TW"/>
        </w:rPr>
        <w:t>（三）加强分性别统计监测工作</w:t>
      </w:r>
      <w:bookmarkEnd w:id="89"/>
      <w:bookmarkEnd w:id="90"/>
      <w:bookmarkEnd w:id="91"/>
      <w:bookmarkStart w:id="92" w:name="_Toc1495"/>
      <w:bookmarkStart w:id="93" w:name="_Toc23641"/>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52</w:t>
      </w:r>
    </w:p>
    <w:p>
      <w:pPr>
        <w:pStyle w:val="5"/>
        <w:pageBreakBefore w:val="0"/>
        <w:widowControl w:val="0"/>
        <w:kinsoku/>
        <w:wordWrap/>
        <w:overflowPunct/>
        <w:topLinePunct w:val="0"/>
        <w:autoSpaceDE/>
        <w:autoSpaceDN/>
        <w:bidi w:val="0"/>
        <w:adjustRightInd/>
        <w:snapToGrid/>
        <w:spacing w:after="0" w:line="560" w:lineRule="exact"/>
        <w:textAlignment w:val="auto"/>
        <w:rPr>
          <w:rFonts w:hint="default" w:ascii="楷体" w:hAnsi="楷体" w:eastAsia="楷体" w:cs="楷体"/>
          <w:b w:val="0"/>
          <w:bCs/>
          <w:szCs w:val="32"/>
          <w:lang w:val="en-US"/>
        </w:rPr>
      </w:pPr>
      <w:r>
        <w:rPr>
          <w:rFonts w:hint="eastAsia" w:ascii="楷体" w:hAnsi="楷体" w:eastAsia="楷体" w:cs="楷体"/>
          <w:b w:val="0"/>
          <w:bCs/>
          <w:szCs w:val="32"/>
          <w:lang w:val="zh-TW"/>
        </w:rPr>
        <w:t>（四）提升监测评估工作能力和水平</w:t>
      </w:r>
      <w:bookmarkEnd w:id="92"/>
      <w:bookmarkEnd w:id="93"/>
      <w:bookmarkStart w:id="94" w:name="_Toc11948"/>
      <w:bookmarkStart w:id="95" w:name="_Toc25438"/>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52</w:t>
      </w:r>
    </w:p>
    <w:p>
      <w:pPr>
        <w:pStyle w:val="5"/>
        <w:pageBreakBefore w:val="0"/>
        <w:widowControl w:val="0"/>
        <w:kinsoku/>
        <w:wordWrap/>
        <w:overflowPunct/>
        <w:topLinePunct w:val="0"/>
        <w:autoSpaceDE/>
        <w:autoSpaceDN/>
        <w:bidi w:val="0"/>
        <w:adjustRightInd/>
        <w:snapToGrid/>
        <w:spacing w:after="0" w:line="560" w:lineRule="exact"/>
        <w:textAlignment w:val="auto"/>
        <w:rPr>
          <w:rFonts w:hint="default" w:ascii="楷体" w:hAnsi="楷体" w:eastAsia="楷体" w:cs="楷体"/>
          <w:b w:val="0"/>
          <w:bCs/>
          <w:szCs w:val="32"/>
          <w:lang w:val="en-US"/>
        </w:rPr>
      </w:pPr>
      <w:r>
        <w:rPr>
          <w:rFonts w:hint="eastAsia" w:ascii="楷体" w:hAnsi="楷体" w:eastAsia="楷体" w:cs="楷体"/>
          <w:b w:val="0"/>
          <w:bCs/>
          <w:szCs w:val="32"/>
          <w:lang w:val="zh-TW"/>
        </w:rPr>
        <w:t>（五）有效利用监测评估成果</w:t>
      </w:r>
      <w:bookmarkEnd w:id="94"/>
      <w:bookmarkEnd w:id="9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53</w:t>
      </w:r>
    </w:p>
    <w:p>
      <w:pPr>
        <w:pStyle w:val="13"/>
        <w:spacing w:line="360" w:lineRule="auto"/>
        <w:ind w:firstLine="0" w:firstLineChars="0"/>
        <w:jc w:val="center"/>
        <w:rPr>
          <w:rFonts w:hint="eastAsia" w:ascii="方正小标宋简体" w:hAnsi="方正小标宋简体" w:eastAsia="方正小标宋简体" w:cs="方正小标宋简体"/>
          <w:b w:val="0"/>
          <w:bCs w:val="0"/>
          <w:sz w:val="44"/>
          <w:szCs w:val="44"/>
          <w:lang w:eastAsia="zh-CN"/>
        </w:rPr>
      </w:pPr>
    </w:p>
    <w:p>
      <w:pPr>
        <w:pStyle w:val="13"/>
        <w:spacing w:line="360" w:lineRule="auto"/>
        <w:ind w:firstLine="0" w:firstLineChars="0"/>
        <w:jc w:val="center"/>
        <w:rPr>
          <w:rFonts w:hint="eastAsia" w:ascii="方正小标宋简体" w:hAnsi="方正小标宋简体" w:eastAsia="方正小标宋简体" w:cs="方正小标宋简体"/>
          <w:b w:val="0"/>
          <w:bCs w:val="0"/>
          <w:sz w:val="44"/>
          <w:szCs w:val="44"/>
          <w:lang w:eastAsia="zh-CN"/>
        </w:rPr>
      </w:pPr>
    </w:p>
    <w:p>
      <w:pPr>
        <w:pStyle w:val="13"/>
        <w:spacing w:line="360" w:lineRule="auto"/>
        <w:ind w:firstLine="0" w:firstLineChars="0"/>
        <w:jc w:val="center"/>
        <w:rPr>
          <w:rFonts w:hint="eastAsia" w:ascii="方正小标宋简体" w:hAnsi="方正小标宋简体" w:eastAsia="方正小标宋简体" w:cs="方正小标宋简体"/>
          <w:b w:val="0"/>
          <w:bCs w:val="0"/>
          <w:sz w:val="44"/>
          <w:szCs w:val="44"/>
          <w:lang w:eastAsia="zh-CN"/>
        </w:rPr>
      </w:pPr>
    </w:p>
    <w:p>
      <w:pPr>
        <w:pStyle w:val="13"/>
        <w:spacing w:line="360" w:lineRule="auto"/>
        <w:ind w:firstLine="0" w:firstLine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惠来县</w:t>
      </w:r>
      <w:r>
        <w:rPr>
          <w:rFonts w:hint="eastAsia" w:ascii="方正小标宋简体" w:hAnsi="方正小标宋简体" w:eastAsia="方正小标宋简体" w:cs="方正小标宋简体"/>
          <w:b w:val="0"/>
          <w:bCs w:val="0"/>
          <w:sz w:val="44"/>
          <w:szCs w:val="44"/>
        </w:rPr>
        <w:t>妇女发展规</w:t>
      </w:r>
      <w:r>
        <w:rPr>
          <w:rFonts w:hint="eastAsia" w:ascii="方正小标宋简体" w:hAnsi="方正小标宋简体" w:eastAsia="方正小标宋简体" w:cs="方正小标宋简体"/>
          <w:b w:val="0"/>
          <w:bCs w:val="0"/>
          <w:sz w:val="44"/>
          <w:szCs w:val="44"/>
          <w:lang w:eastAsia="zh-CN"/>
        </w:rPr>
        <w:t>划（2021—2030年）</w:t>
      </w:r>
    </w:p>
    <w:p>
      <w:pPr>
        <w:pageBreakBefore w:val="0"/>
        <w:kinsoku/>
        <w:wordWrap/>
        <w:overflowPunct/>
        <w:topLinePunct w:val="0"/>
        <w:autoSpaceDE/>
        <w:autoSpaceDN/>
        <w:bidi w:val="0"/>
        <w:adjustRightInd/>
        <w:snapToGrid/>
        <w:spacing w:line="560" w:lineRule="exact"/>
        <w:ind w:firstLine="640"/>
        <w:textAlignment w:val="auto"/>
        <w:rPr>
          <w:rFonts w:hint="eastAsia" w:cs="Times New Roman"/>
          <w:lang w:eastAsia="zh-TW"/>
        </w:rPr>
      </w:pP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为贯彻落实《揭阳市妇女发展规划（2021-2030年）》，进一步优化我县妇女发展环境，保障妇女合法权益，结合我县妇女发展实际情况，制定本规划。</w:t>
      </w:r>
    </w:p>
    <w:p>
      <w:pPr>
        <w:pStyle w:val="3"/>
        <w:pageBreakBefore w:val="0"/>
        <w:kinsoku/>
        <w:wordWrap/>
        <w:overflowPunct/>
        <w:topLinePunct w:val="0"/>
        <w:autoSpaceDE/>
        <w:autoSpaceDN/>
        <w:bidi w:val="0"/>
        <w:adjustRightInd/>
        <w:snapToGrid/>
        <w:spacing w:before="0" w:beforeLines="0" w:line="560" w:lineRule="exact"/>
        <w:ind w:firstLine="640" w:firstLineChars="200"/>
        <w:textAlignment w:val="auto"/>
        <w:rPr>
          <w:rFonts w:cs="Times New Roman"/>
        </w:rPr>
      </w:pPr>
      <w:r>
        <w:rPr>
          <w:rFonts w:cs="Times New Roman"/>
        </w:rPr>
        <w:t>一、总体要求</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（一）指导思想</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坚持以习近平新时代中国特色社会主义思想为指导，全面贯彻落实党的十九大和十九届历次全会精神，坚持党对妇女事业的全面领导，坚持以人民为中心的发展思想，坚持走中国特色社会主义妇女发展道路，贯彻落实男女平等基本国策，不断完善促进男女平等和妇女全面发展的制度机制，大胆探索，先行先试，优化妇女发展环境，保障妇女合法权益，促进妇女全面发展，推动性别平等成为全社会共同遵循的行为规范和价值标准，充分发挥妇女“半边天”作用，推动妇女走在时代前列。</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（二）总体目标</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2030年，我县男女平等和妇女全面发展取得更为明显的实质性进展。</w:t>
      </w:r>
    </w:p>
    <w:p>
      <w:pPr>
        <w:pStyle w:val="3"/>
        <w:pageBreakBefore w:val="0"/>
        <w:kinsoku/>
        <w:wordWrap/>
        <w:overflowPunct/>
        <w:topLinePunct w:val="0"/>
        <w:autoSpaceDE/>
        <w:autoSpaceDN/>
        <w:bidi w:val="0"/>
        <w:adjustRightInd/>
        <w:snapToGrid/>
        <w:spacing w:before="0" w:beforeLines="0" w:line="560" w:lineRule="exact"/>
        <w:ind w:firstLine="640" w:firstLineChars="200"/>
        <w:textAlignment w:val="auto"/>
        <w:rPr>
          <w:rFonts w:cs="Times New Roman"/>
          <w:b/>
          <w:bCs/>
        </w:rPr>
      </w:pPr>
      <w:r>
        <w:rPr>
          <w:rFonts w:cs="Times New Roman"/>
          <w:lang w:val="zh-CN"/>
        </w:rPr>
        <w:t>二、</w:t>
      </w:r>
      <w:r>
        <w:rPr>
          <w:rFonts w:cs="Times New Roman"/>
        </w:rPr>
        <w:t>发展领域、主要目标和策略措施</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（一）妇女与健康</w:t>
      </w:r>
    </w:p>
    <w:p>
      <w:pPr>
        <w:pStyle w:val="13"/>
        <w:pageBreakBefore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sz w:val="32"/>
          <w:szCs w:val="32"/>
        </w:rPr>
      </w:pPr>
      <w:r>
        <w:rPr>
          <w:rFonts w:ascii="Times New Roman" w:hAnsi="Times New Roman" w:cs="Times New Roman"/>
          <w:sz w:val="32"/>
          <w:szCs w:val="32"/>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 妇女全生命周期享有良好的卫生健康服务，妇女人均预期寿命延长，人均健康预期寿命提高。</w:t>
      </w:r>
    </w:p>
    <w:p>
      <w:pPr>
        <w:pageBreakBefore w:val="0"/>
        <w:widowControl/>
        <w:kinsoku/>
        <w:wordWrap/>
        <w:overflowPunct/>
        <w:topLinePunct w:val="0"/>
        <w:autoSpaceDE/>
        <w:autoSpaceDN/>
        <w:bidi w:val="0"/>
        <w:adjustRightInd/>
        <w:snapToGrid/>
        <w:spacing w:line="560" w:lineRule="exact"/>
        <w:ind w:firstLine="640"/>
        <w:jc w:val="left"/>
        <w:textAlignment w:val="auto"/>
        <w:rPr>
          <w:rFonts w:cs="Times New Roman"/>
          <w:szCs w:val="32"/>
        </w:rPr>
      </w:pPr>
      <w:r>
        <w:rPr>
          <w:rFonts w:cs="Times New Roman"/>
          <w:szCs w:val="32"/>
        </w:rPr>
        <w:t>2. 孕产妇死亡率下降到8/10万以下，区域差距逐步缩小。</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3. 妇女宫颈癌和乳腺癌防治意识明显提高。宫颈癌和乳腺癌综合防治能力不断增强。适龄妇女宫颈癌人群筛查率达到70%以上，乳腺癌人群筛查率逐步提高。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4. 生殖健康和优生优育知识全面普及，促进健康孕育，减少非意愿妊娠。孕产妇系统管理率达到90%以上。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5. 全县婚前医学检查率提高到65%，孕前优生检查率达到80%以上。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6. 有效降低传染性疾病的母婴传播，减少艾滋病、梅毒和乙肝母婴传播，孕产妇艾滋病、梅毒和乙肝检测率达到98%以上，艾滋病母婴传播率下降到2%以下。艾滋病、梅毒孕产妇感染者治疗率达到95%以上。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7. 健全妇女心理服务和干预救治网络体系。妇女心理健康素养水平不断提升，妇女焦虑障碍、抑郁症患病率上升趋势减缓。</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8. 普及健康知识，提高妇女健康素养水平。</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9. 改善妇女营养状况。预防和减少孕产妇贫血。</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10. 女性化妆用品抽查合格率达到95%以上。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11. 提高妇女体质测定标准合格比例，妇女经常参加体育锻炼的人数比例达到42%。</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12. 关爱老年妇女健康，65岁以上老年人城乡社区规范健康管理服务率达到65%以上。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13. 健全妇幼健康服务体系，提升妇幼健康服务能力，妇女健康水平不断提高。</w:t>
      </w:r>
    </w:p>
    <w:p>
      <w:pPr>
        <w:pageBreakBefore w:val="0"/>
        <w:kinsoku/>
        <w:wordWrap/>
        <w:overflowPunct/>
        <w:topLinePunct w:val="0"/>
        <w:autoSpaceDE/>
        <w:autoSpaceDN/>
        <w:bidi w:val="0"/>
        <w:adjustRightInd/>
        <w:snapToGrid/>
        <w:spacing w:line="560" w:lineRule="exact"/>
        <w:ind w:firstLine="640"/>
        <w:textAlignment w:val="auto"/>
        <w:rPr>
          <w:rFonts w:eastAsia="宋体" w:cs="Times New Roman"/>
          <w:szCs w:val="32"/>
        </w:rPr>
      </w:pPr>
      <w:r>
        <w:rPr>
          <w:rFonts w:cs="Times New Roman"/>
          <w:szCs w:val="32"/>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 完善保障妇女健康的制度机制。深入实施“健康揭阳”行动，把保障人民健康放在优先发展的战略位置，多渠道支持妇女健康事业发展。健全政府主导、部门协同、社会参与、行业监管、科技支撑的妇女健康保障工作机制。深入推进医疗、医保、医药联动改革，统筹改革监管体制，保障妇女获得高质量、有效率、可负担的医疗和保健服务。完善公共卫生应急管理体系，健全重大疫情防控救治机制和应急物资保障体系，关注妇女的特殊需求。</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2. 加强妇幼健康服务体系建设。健全以妇幼保健机构为核心、以基层医疗卫生机构为基础、以大中型医院为支撑的妇幼健康服务网络，提升妇幼健康服务供给能力和水平，实现妇幼基本公共卫生服务均等化，确保建设1所政府举办、标准化妇幼保健机构。全面开展妇幼保健机构绩效考核，强化考核结果应用，保障妇女儿童享有高质量的医疗保健服务。依托现有医疗机构，全面加强县一级危重孕产妇救治中心建设。强化县、镇（场）、村（社区）三级妇幼卫生服务网络建设，完善基层网底和转诊网络。加强复合型妇幼健康人才和产科、助产等岗位急需紧缺人才的培养使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3. 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提高妇女健康水平和人均健康预期寿命。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4. 保障孕产妇安全分娩。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5. 完善宫颈癌和乳腺癌综合防治体系和救助政策。普及防治知识，提高宫颈癌和乳腺癌防治知识知晓率。实施城乡妇女宫颈癌和乳腺癌免费检查项目。推进适龄女生人乳头瘤病毒（HPV）疫苗接种工作，逐步将人乳头瘤病毒（HPV）疫苗接种纳入公共卫生服务，落实基本公共卫生服务中农村妇女宫颈癌和乳腺癌检查项目，促进70%的妇女在35-45岁接受宫颈癌筛查，督促用人单位定期进行女职工宫颈癌和乳腺癌筛查。加强宫颈癌和乳腺癌筛查和诊断技术创新应用。强化筛查和后续诊治服务的衔接，宫颈癌患者治疗率达到90%以上。加强对困难患者的救助。</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6. 提高妇女生殖健康和常见病防治水平。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有条件的区域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7. 加强艾滋病、梅毒和乙肝病毒母婴传播防治。全面落实预防艾滋病、梅毒和乙肝病毒母婴传播综合干预措施，加大防治宣传和防控力度。加强对妇女感染者特别是流动和经济困难妇女感染者及其家庭的医疗、健康咨询、心理和社会支持等服务，提高随访率。先天梅毒报告发病率下降到15/10万活产数以下。</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8. 促进妇女心理健康。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9. 提升妇女健康素养。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10. 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11. 引导妇女积极参与全民健身行动。按照“一核一带一区”区域发展新格局，努力构建城镇社区15分钟健身圈。发展妇女喜闻乐见的健身运动项目，传承推广潮汕传统体育项目</w:t>
      </w:r>
      <w:r>
        <w:rPr>
          <w:rFonts w:eastAsia="楷体" w:cs="Times New Roman"/>
          <w:szCs w:val="32"/>
        </w:rPr>
        <w:t>，</w:t>
      </w:r>
      <w:r>
        <w:rPr>
          <w:rFonts w:cs="Times New Roman"/>
          <w:szCs w:val="32"/>
        </w:rPr>
        <w:t>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12. 保障女性健康卫生用品产品的质量。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13. 强化妇女健康服务科技支撑。推进“互联网+妇幼健康”，促进信息技术在妇女健康领域专科医联体建设中的应用，加强医疗机构间的协作，促进分级诊疗和上下联动。建立健全妇幼保健全程信息化管理和跟踪机制，实现婚前检查、围产期管理、住院分娩、产后保健、0-6岁儿童保健管理等信息互联互通、多证联办。建立妇女儿童健康管理信息数据库，实现社区、医院与妇幼保健机构信息共享。</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bookmarkStart w:id="96" w:name="_Toc985"/>
      <w:bookmarkStart w:id="97" w:name="_Toc20787"/>
      <w:bookmarkStart w:id="98" w:name="_Toc387"/>
      <w:r>
        <w:rPr>
          <w:rFonts w:hint="eastAsia" w:ascii="楷体" w:hAnsi="楷体" w:eastAsia="楷体" w:cs="楷体"/>
          <w:b w:val="0"/>
          <w:bCs/>
        </w:rPr>
        <w:t>（二）妇女与教育</w:t>
      </w:r>
      <w:bookmarkEnd w:id="96"/>
      <w:bookmarkEnd w:id="97"/>
      <w:bookmarkEnd w:id="98"/>
    </w:p>
    <w:p>
      <w:pPr>
        <w:pageBreakBefore w:val="0"/>
        <w:kinsoku/>
        <w:wordWrap/>
        <w:overflowPunct/>
        <w:topLinePunct w:val="0"/>
        <w:autoSpaceDE/>
        <w:autoSpaceDN/>
        <w:bidi w:val="0"/>
        <w:adjustRightInd/>
        <w:snapToGrid/>
        <w:spacing w:line="560" w:lineRule="exact"/>
        <w:ind w:firstLine="640"/>
        <w:textAlignment w:val="auto"/>
        <w:rPr>
          <w:rFonts w:cs="Times New Roman"/>
          <w:lang w:val="zh-CN" w:bidi="zh-CN"/>
        </w:rPr>
      </w:pPr>
      <w:r>
        <w:rPr>
          <w:rFonts w:cs="Times New Roman"/>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1. 加强思想政治教育，增进妇女对习近平新时代中国特色社会主义思想的政治认同、思想认同、情感认同，引领妇女做伟大事业的建设者、文明风尚的倡导者、敢于追梦的奋斗者。</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2. 教育工作全面贯彻男女平等基本国策。大中小学性别平等教育全面推进，教师和学生的男女平等意识明显增强。</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3. 女童平等接受学前教育，学前教育毛入园率达到100%。</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4. 女童平等接受义务教育，女童九年义务教育巩固率稳定在96%以上。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5. 女性平等接受高中阶段教育，女生高中阶段教育毛入学率达到并保持在95%以上。</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6. 女性接受职业教育的水平逐步提高。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7. 保障女性平等接受高等教育的权利和机会。</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8. 大力培养女性科技人才。男女两性的科学素质水平差距不断缩小。</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9. 促进女性树立终身学习意识，女性接受终身教育水平不断提高。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 面向妇女广泛深入开展思想政治教育。深入开展习近平新时代中国特色社会主义</w:t>
      </w:r>
      <w:r>
        <w:rPr>
          <w:rFonts w:cs="Times New Roman"/>
          <w:szCs w:val="32"/>
        </w:rPr>
        <w:t>思想学习教育，加强党史、新中国史、改革开放史、社会主义发展史教育，加强爱国主义、集体主义、社会主义教育，促进妇女更加坚定理想信念，不断厚植爱国情怀，把个人理想追求融入到党和国家事业大局，做新时代新女性，为惠来经济社会发展凝聚巾帼力量。深化民族团结进步教育，铸牢中华民族共同体意识。充分发挥学校教育主阵地作用，将思想价值引领贯穿于教育教学及管</w:t>
      </w:r>
      <w:r>
        <w:rPr>
          <w:rFonts w:cs="Times New Roman"/>
        </w:rPr>
        <w:t>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2. 将贯彻落实男女平等基本国策体现在教育工作全过程。增强教育工作者自觉贯彻男女平等基本国策的主动性和能动性。将男女平等基本国策落实到教育法规政策的执行和规划的制定、修订、执行和评估中，落实到各级各类教育内容、教学过程、学校管理中。加强对教材编制、课程设置、教学过程的性别平等评估，在各级各类师资培训中加入性别平等内容。全面开展中小学（包括中职学校）性别平等教育工作，逐步推广到学前教育、高等教育。适时出台性别平等教育工作指导意见，推动因地制宜开发性别平等课程。探索构建学校教育、家庭教育、社会教育相结合的性别平等教育模式，让性别平等成为全社会共同遵循的行为规范和价值标准。</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3. 保障女童平等接受学前教育、义务教育的权利和机会。深化教育教学改革，均衡配置教育资源，确保女童平等接受公平优质的学前教育和义务教育。健全精准控辍保学长效机制，加强分类指导，督促法定监护人依法保障女童接受义务教育，切实解决义务教育女童失学辍学问题。保障低收入家庭女童、留守女童、农业转移人口随迁子女以及残疾女童的受教育权利和机会。支持学业困难女童完成义务教育，提高女童义务教育巩固率。</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4. 提高女性接受普通高中教育的比例。保障女性特别是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5. 促进女性接受高质量职业教育。完善学历教育与培训并重的现代职业教育体系，优化专业设置，提供多种学习方式，支持女性获得职业技能等级证书，培养复合型技术技能女性人才和能工巧匠、大国工匠。鼓励职业院校面向女性高校毕业生、农民工等重点人群开展就业创业和职业技能培训。</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6. 保障女性平等接受高等教育的权利和机会。严格控制招生过程中的特殊专业范围，强化涉及性别歧视问题的监管，建立约谈、处罚机制。落实有关激励措施，提高女性在科学、技术、工程、数学等学科学生中的比例。</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7. 大力提高女性科学素质，培养女性科技人才。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落实农村妇女素质提升计划，支持农村妇女参与农业农村现代化建设。</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8. 为女性终身学习提供支持。建立完善更加开放灵活的终身学习体系，完善注册学习、弹性学习和继续教育制度，拓宽学历教育渠道，满足女性多样化学习需求，关注因生育中断学业和职业的女性发展需求。为女性提供便捷的社区和在线教育，为进城务工女性、女性新市民、待业女性等提供有针对性的职业技能培训。健全继续教育激励机制，支持用人单位为从业妇女提供继续教育的机会。</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 xml:space="preserve">9. </w:t>
      </w:r>
      <w:r>
        <w:rPr>
          <w:rFonts w:cs="Times New Roman"/>
          <w:lang w:val="zh-CN"/>
        </w:rPr>
        <w:t>构</w:t>
      </w:r>
      <w:r>
        <w:rPr>
          <w:rFonts w:cs="Times New Roman"/>
        </w:rPr>
        <w:t>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（三）妇女与经济</w:t>
      </w:r>
    </w:p>
    <w:p>
      <w:pPr>
        <w:pageBreakBefore w:val="0"/>
        <w:kinsoku/>
        <w:wordWrap/>
        <w:overflowPunct/>
        <w:topLinePunct w:val="0"/>
        <w:autoSpaceDE/>
        <w:autoSpaceDN/>
        <w:bidi w:val="0"/>
        <w:adjustRightInd/>
        <w:snapToGrid/>
        <w:spacing w:line="560" w:lineRule="exact"/>
        <w:ind w:firstLine="640"/>
        <w:textAlignment w:val="auto"/>
        <w:rPr>
          <w:rFonts w:cs="Times New Roman"/>
          <w:lang w:val="zh-TW"/>
        </w:rPr>
      </w:pPr>
      <w:r>
        <w:rPr>
          <w:rFonts w:cs="Times New Roman"/>
          <w:lang w:val="zh-TW"/>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 鼓励支持妇女为推动经济高质量发展贡献力量，妇女平等参与经济发展的权利和机会得到保障。</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2. 促进平等就业，消除就业性别歧视。就业人员中的女性比例保持在45%左右。促进女大学生充分就业。</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3. 优化妇女就业结构。城镇单位就业人员中的女性比例达到42%以上。</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4. 促进女性人才发展。高级专业技术人员中的女性比例达到40%。</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5. 促进女性劳动者提升技能水平。企业女职工接受职业技能培训的比例保持并巩固在95%以上，农村技能培训女性人数占总培训人数比例达50%左右。</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6. 保障妇女获得公平的劳动报酬，男女收入差距明显缩小。</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7. 保障女性劳动者劳动安全和健康。女职工职业病发病率明显降低。</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8. 保障农村妇女平等享有土地承包经营权、宅基地使用权等权益，平等享有农村集体经济组织收益分配、土地征收或征用安置补偿权益。</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9. 妇女在实施乡村振兴战略中的作用充分发挥，农村低收入妇女群体的可持续发展能力增强。</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lang w:val="zh-TW"/>
        </w:rPr>
        <w:t>1. 落实保障妇女平等获得经济资源、参与经济建设、享有经济发展成果的法规政策。</w:t>
      </w:r>
      <w:r>
        <w:rPr>
          <w:rFonts w:cs="Times New Roman"/>
        </w:rPr>
        <w:t>制定实施支持女性科技人才在</w:t>
      </w:r>
      <w:r>
        <w:rPr>
          <w:rFonts w:cs="Times New Roman"/>
          <w:szCs w:val="28"/>
        </w:rPr>
        <w:t>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2. 加大消除就业性别歧视的工作力度。</w:t>
      </w:r>
      <w:r>
        <w:rPr>
          <w:rFonts w:cs="Times New Roman"/>
          <w:szCs w:val="28"/>
        </w:rPr>
        <w:t>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3. 促进妇女就业创业。</w:t>
      </w:r>
      <w:r>
        <w:rPr>
          <w:rFonts w:cs="Times New Roman"/>
          <w:szCs w:val="28"/>
        </w:rPr>
        <w:t>强化就业政策与经济、社会政策的衔接，做好妇女就业状况调查分析工作。优化升级援企稳岗政策，增加妇女就业岗位。壮大新动能，培育新就业增长点，扩大妇女灵活就业、新就业形态空间。完善妇女就业服务体系，丰富公共就业服务渠道，完善普惠性创业扶持政策，推进创业孵化载体建设，扩大公益性岗位安置，帮扶残疾妇女、零就业家庭成员等就业困难妇女就地就近就业。深入实施职业技能提升行动，推进“粤菜师傅”“广东技工”“南粤家政”三项工程高质量发展。加快培育数字经济新兴就业机会，持续提升妇女数字技能，加大对女性在互联网、大数据等高新科技领域创业的扶持力度，引导广大妇女运用电子商务、微信平台等新技术，拓宽妇女创业致富新空间。</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4. 促进女大学生就业创业。</w:t>
      </w:r>
      <w:r>
        <w:rPr>
          <w:rFonts w:cs="Times New Roman"/>
          <w:szCs w:val="28"/>
        </w:rPr>
        <w:t>加强职业生涯规划指导服务，引导女大学生树立正确的择业就业观，提升就业能力。落实就业创业支持政策，提供不断线的就业服务，拓宽女大学生市场化、社会化就业渠道。鼓励女大学生到基层、中小微企业或新经济领域就业。推广女大学生创业导师制，鼓励女大学生参加创新创业大赛，支持女大学生创业。对有就业意愿的离校未就业女毕业生实施就业帮扶。</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5. 改善妇女就业结构。</w:t>
      </w:r>
      <w:r>
        <w:rPr>
          <w:rFonts w:cs="Times New Roman"/>
          <w:szCs w:val="28"/>
        </w:rPr>
        <w:t>完善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完善女性高级管理人才和女性技能人才统计制度。</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6. 缩小男女两性收入差距。</w:t>
      </w:r>
      <w:r>
        <w:rPr>
          <w:rFonts w:cs="Times New Roman"/>
          <w:szCs w:val="28"/>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7. 改善女性劳动者劳动安全状况。</w:t>
      </w:r>
      <w:r>
        <w:rPr>
          <w:rFonts w:cs="Times New Roman"/>
          <w:szCs w:val="28"/>
        </w:rPr>
        <w:t>广泛开展劳动安全和健康宣传教育，将女职工劳动保护纳入职业健康和安全生产监督管理范围。督促用人单位加强对女职工经期、孕期、哺乳期的特殊保护，落实哺乳时间和产假制度。督促用人单位加强职业防护和职业健康监督保护，保障女职工在工作中免受有毒物质和危险生产工艺的危害。</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8. 保障女职工劳动权益。</w:t>
      </w:r>
      <w:r>
        <w:rPr>
          <w:rFonts w:cs="Times New Roman"/>
          <w:szCs w:val="28"/>
        </w:rPr>
        <w:t>严格落实女职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和诉讼作用，推动有条件的劳动人事争议仲裁机构设立女职工维权仲裁庭，依法调处女职工劳动争议案件。</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9. 为女性生育后的职业发展创造有利条件。落实人口生育政策，</w:t>
      </w:r>
      <w:r>
        <w:rPr>
          <w:rFonts w:cs="Times New Roman"/>
          <w:szCs w:val="28"/>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增加优质普惠性托育服务供给，支持用人单位为职工提供福利性托育托管服务。</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10. 保障农村妇女平等享有各项经济权益。</w:t>
      </w:r>
      <w:r>
        <w:rPr>
          <w:rFonts w:cs="Times New Roman"/>
          <w:szCs w:val="28"/>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11. 支持妇女积极参与乡村振兴。积极发挥妇女在农村一二三产业融合发展和农业农村现代化建设中的作用。发挥农村创业创新园区（基地）、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建立农村低收入人口帮扶机制。健全防止返贫监测和帮扶机制。组织和发展适合当地特色的现代绿色农业，支持农村妇女就地就近就业，帮助妇女在乡村振兴建设中共同发展共同富裕。</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（四）妇女参与决策和管理</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 保障妇女参与社会主义民主政治建设和社会治理，提升参与水平。</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rPr>
        <w:t>2. 中国共产党女党员保持合理比例。中国共产党各级党员代表大会中女党</w:t>
      </w:r>
      <w:r>
        <w:rPr>
          <w:rFonts w:cs="Times New Roman"/>
          <w:szCs w:val="28"/>
        </w:rPr>
        <w:t>员代表比例一般不低于本地区党员总数中女性比例。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3. 县人大代表、政协委员以及人大、政协常委中的女性比例逐步提高。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4. 地方政府领导班子中的女干部比例逐步提高，担任正职的女干部占同级正职干部的比例逐步提高。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5. 地方政府工作部门领导班子中女干部比例逐步提高，担任正职的女干部占同级正职干部的比例逐步提高。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6. 事业单位领导班子成员中的女性比例逐步提高。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7. 企业董事会、监事会成员及管理层中的女性比例逐步提高。企事业单位职工代表大会中女性比例与女职工比例相适应。</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8. 村党组织成员、村党组织书记中女性比例逐步提高。村委会成员中女性比例达到30%以上，村委会主任中女性比例逐步提高。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9. 社区党组织成员、社区党组织书记中女性比例逐步提高。社区居委会成员中女性比例保持在50%左右，社区居委会主任中女性比例达到40%以上。</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10. 鼓励支持女性参与社会组织、担任社会组织负责人。</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lang w:val="zh-TW"/>
        </w:rPr>
        <w:t>1. 加大对妇女参与决</w:t>
      </w:r>
      <w:r>
        <w:rPr>
          <w:rFonts w:cs="Times New Roman"/>
          <w:szCs w:val="28"/>
          <w:lang w:val="zh-TW" w:bidi="zh-TW"/>
        </w:rPr>
        <w:t>策和管理的支持力度。</w:t>
      </w:r>
      <w:r>
        <w:rPr>
          <w:rFonts w:cs="Times New Roman"/>
          <w:szCs w:val="28"/>
        </w:rPr>
        <w:t>充分发挥妇女在参与国家和社会事务管理中的重要作用，破除制约妇女参与决策和管理的障碍，把推动妇女参政纳入重要议程，提出目标举措。将男女平等基本国策纳入党校培训内容，提高各级领导干部贯彻落实男女平等基本国策的意识。采取有效措施，提升各级党委、人大、政府、政协、党政工作部门以及企事业单位、基层群众自治组织和社会组织中的女性比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2. 提高妇女参与社会事务和民主管理的意识和能力。</w:t>
      </w:r>
      <w:r>
        <w:rPr>
          <w:rFonts w:cs="Times New Roman"/>
          <w:szCs w:val="28"/>
        </w:rPr>
        <w:t>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3. 重视发展中国共产党女党员。</w:t>
      </w:r>
      <w:r>
        <w:rPr>
          <w:rFonts w:cs="Times New Roman"/>
          <w:szCs w:val="28"/>
        </w:rPr>
        <w:t>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4. 提高人大女代表、政协女委员比例。</w:t>
      </w:r>
      <w:r>
        <w:rPr>
          <w:rFonts w:cs="Times New Roman"/>
          <w:szCs w:val="28"/>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5. 加大培养选拔女干部工作力度。</w:t>
      </w:r>
      <w:r>
        <w:rPr>
          <w:rFonts w:cs="Times New Roman"/>
          <w:szCs w:val="28"/>
        </w:rPr>
        <w:t>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因性别受到歧视。</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6. 推动妇女积极参与事业单位决策管理</w:t>
      </w:r>
      <w:r>
        <w:rPr>
          <w:rFonts w:cs="Times New Roman"/>
          <w:szCs w:val="28"/>
        </w:rPr>
        <w:t>。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7. 推动妇女广泛参与企业决策管理。</w:t>
      </w:r>
      <w:r>
        <w:rPr>
          <w:rFonts w:cs="Times New Roman"/>
          <w:szCs w:val="28"/>
        </w:rPr>
        <w:t>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8. 推动妇女有序参与城乡基层社会治理。</w:t>
      </w:r>
      <w:r>
        <w:rPr>
          <w:rFonts w:cs="Times New Roman"/>
          <w:szCs w:val="28"/>
        </w:rPr>
        <w:t>注重广纳人才，培养选拔村（社区）女干部。在村（社区）“两委”换届工作中，通过提名确定女性候选人、女性委员专职专选、女性成员缺位增补等措施，提高村（社区）委会成员、村（社区）委会主任中的女性比例。组织妇女积极参与村规民约、居民公约的制定修订，开展协商议事活动。促进新社会阶层、社会工作者和志愿者中的女性积极参与社会治理。</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9. 支持引导妇女参与社会组织。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（五）妇女与社会保障</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 妇女平等享有社会保障权益，保障水平不断提高。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2. 完善生育保障制度。提高生育保险参保率。</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rPr>
        <w:t>3. 完善医疗保障体系</w:t>
      </w:r>
      <w:r>
        <w:rPr>
          <w:rFonts w:cs="Times New Roman"/>
          <w:szCs w:val="28"/>
        </w:rPr>
        <w:t>。妇女基本医疗保险参保率稳定在95%以上，待遇保障公平适度。</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szCs w:val="28"/>
        </w:rPr>
        <w:t>4. 完善养老保险制度体系。妇女基本养老保险参保率提高到95%，</w:t>
      </w:r>
      <w:r>
        <w:rPr>
          <w:rFonts w:cs="Times New Roman"/>
        </w:rPr>
        <w:t>待遇水平稳步提高。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5. 完善失业保险和工伤保险制度。提高妇女失业保险和工伤保险参保人数，落实相关待遇保障。</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rPr>
        <w:t>6. 健全分层分类社</w:t>
      </w:r>
      <w:r>
        <w:rPr>
          <w:rFonts w:cs="Times New Roman"/>
          <w:szCs w:val="28"/>
        </w:rPr>
        <w:t>会救助体系。困难妇女的生活得到基本保障。</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7. 妇女福利待遇水平持续提高，重点向老年妇女、残疾妇女等群体倾斜。</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8. 建立完善多层次养老服务和长期照护保障制度。保障老年妇女享有均等可及的基本养老服务，对失能妇女的照护服务水平不断提高。</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9. 加强对妇女的关爱服务，重点为有困难、有需求的妇女提供帮扶。</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lang w:val="zh-TW"/>
        </w:rPr>
        <w:t>1. 完善惠及妇女群体的社会保障体系。</w:t>
      </w:r>
      <w:r>
        <w:rPr>
          <w:rFonts w:cs="Times New Roman"/>
        </w:rPr>
        <w:t>在落实社会救助、社会保险等相关法规和健全覆盖全民的社会保障体系工作中，关切和保障妇女的特殊利益</w:t>
      </w:r>
      <w:r>
        <w:rPr>
          <w:rFonts w:cs="Times New Roman"/>
          <w:szCs w:val="28"/>
        </w:rPr>
        <w:t>和需求。深入实施全民参保计划，对不同重点群体分类施策，持续推动社会保险参保扩面，支持灵活就业女性参加相应社会保险，实现应保尽保，提高参保缴费质量，缩小社会保障的性别差距。扩大保障范围，统筹社会保障资源在城乡和社会群体之间的均衡配置，将保障范围由户籍人口逐渐扩大到常住人口。建立全县社会保险全民参保登记信息库，加强社会保障分性别统计、信息动态监测和管理。</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2. 完善覆盖城乡妇女的生育保障制度。</w:t>
      </w:r>
      <w:r>
        <w:rPr>
          <w:rFonts w:cs="Times New Roman"/>
          <w:szCs w:val="28"/>
        </w:rPr>
        <w:t>巩固扩大生育保险覆盖面，完善生育保险生育医疗费用支付及生育津贴政策。妥善解决妇女在就业和领取失业金期间生育保障问题。提高生育保险与职工基本医疗保险合并实施成效。加强城乡居民生育医疗费用保障。</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3. 不断提高妇女医疗保障水平。</w:t>
      </w:r>
      <w:r>
        <w:rPr>
          <w:rFonts w:cs="Times New Roman"/>
          <w:szCs w:val="28"/>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4. 促进妇女享有可持续多层次养老保险。</w:t>
      </w:r>
      <w:r>
        <w:rPr>
          <w:rFonts w:cs="Times New Roman"/>
          <w:szCs w:val="28"/>
        </w:rPr>
        <w:t>建立健全以基本养老保险为基础、企业（职业）年金为补充、与个人储蓄</w:t>
      </w:r>
      <w:r>
        <w:rPr>
          <w:rFonts w:hint="eastAsia" w:cs="Times New Roman"/>
          <w:szCs w:val="28"/>
        </w:rPr>
        <w:t>性</w:t>
      </w:r>
      <w:r>
        <w:rPr>
          <w:rFonts w:cs="Times New Roman"/>
          <w:szCs w:val="28"/>
        </w:rPr>
        <w:t>养老保险和商业养老保险相衔接的多层次、多支柱养老保险体系，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障水平。</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5. 保障女性失业保险权益。</w:t>
      </w:r>
      <w:r>
        <w:rPr>
          <w:rFonts w:cs="Times New Roman"/>
          <w:szCs w:val="28"/>
        </w:rPr>
        <w:t>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适时制定特殊时期失业保障政策，支持稳定就业。</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6. 扩大妇女工伤保险覆盖面。</w:t>
      </w:r>
      <w:r>
        <w:rPr>
          <w:rFonts w:cs="Times New Roman"/>
          <w:szCs w:val="28"/>
        </w:rPr>
        <w:t>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7. 强化社会救助对生活困难妇女的兜底保障。</w:t>
      </w:r>
      <w:r>
        <w:rPr>
          <w:rFonts w:cs="Times New Roman"/>
          <w:szCs w:val="28"/>
        </w:rPr>
        <w:t>推进法律实施，强化政策衔接，建立健全分层分类的社会救助体系，健全基本生活救助制度和医疗救助、教育救助、住房救助、就业救助、受灾人员救助等专项救助制度，完善临时救助政策措施，强化急难社会救助功能，织密织牢社会救助兜底保障网。积极发展服务类社会救助，推进政府购买社会救助服务，确保符合条件的妇女应救尽救。鼓励、支持慈善组织依法依规为生活困难妇女提供救助帮扶。按照上级部署，推动建立统一的救助信息平台，加强社会救助分性别统计、信息动态监测和管理，精准识别救助对象。</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szCs w:val="28"/>
          <w:lang w:val="zh-TW" w:bidi="zh-TW"/>
        </w:rPr>
        <w:t>8. 不断满足妇女群体的社会福利需求</w:t>
      </w:r>
      <w:r>
        <w:rPr>
          <w:rFonts w:cs="Times New Roman"/>
          <w:b/>
          <w:bCs/>
          <w:szCs w:val="28"/>
          <w:lang w:val="zh-TW" w:bidi="zh-TW"/>
        </w:rPr>
        <w:t>。</w:t>
      </w:r>
      <w:r>
        <w:rPr>
          <w:rFonts w:cs="Times New Roman"/>
          <w:szCs w:val="28"/>
        </w:rPr>
        <w:t>完善老年人津补贴制度，统筹高龄津贴、护理补贴、服务补贴等政策，完善经济困难高龄失能老年人补贴制度，落实各项补贴待遇，逐步提升老年妇女福利水平。完善残疾人补贴制度，动态调整、</w:t>
      </w:r>
      <w:r>
        <w:rPr>
          <w:rFonts w:cs="Times New Roman"/>
        </w:rPr>
        <w:t>合理确定困难残疾人生活补贴和重度残疾人护理补贴标准，扩大适合残疾妇女特殊需要的公共服务供给。</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 xml:space="preserve">9. </w:t>
      </w:r>
      <w:r>
        <w:rPr>
          <w:rFonts w:cs="Times New Roman"/>
          <w:lang w:val="zh-TW"/>
        </w:rPr>
        <w:t>保障妇女享有基本养老服务。</w:t>
      </w:r>
      <w:r>
        <w:rPr>
          <w:rFonts w:cs="Times New Roman"/>
        </w:rPr>
        <w:t>大力发展政府兜底保障型养老、社区居家养老、社会化中高端养老相结合的养老模式，加快推进居家社区机构相协调、医养康养相结合的养老服务体系建设，提升养老服务网络的覆盖面和服务能力，建成社区15分钟居家养老服务圈，实施普惠养老城企联动专项行动和普惠托育服务专项行动。实施特困人员供养服务机构改造提升工程，谋划建设一批高质量养老服务机构。至少建有1所以失能、部分失能特困人员专业照护为主的符合三星级以上标准县级供养服务设施（敬老院）。将镇级敬老院转型为居家社区养老服务机构，提供具备全托、日托、上门服务、对下指导等综合功能的居家社区养老服务。加大社区养老服务设施建设力度，将社区居家养老服务设施纳入城乡社区配套用房建设范围。调整完善养老服务设施分区分级规划编制，落实新建住宅小区与配套养老服务设施“四同步”要求。促进养老机构提供多元化、便利化、个性化服务，提高老年妇女生活照料、家政服务、精神慰藉、护理保健、辅具配置、紧急救援等服务水平。加大养老护理型人才培养力度，建设高素质、专业化的养老服务队伍。</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10. 探索建立多层次长期照护保障制度。</w:t>
      </w:r>
      <w:r>
        <w:rPr>
          <w:rFonts w:cs="Times New Roman"/>
          <w:szCs w:val="28"/>
        </w:rPr>
        <w:t>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11. 提高对妇女的关爱服务水平。对农村留守妇女进行摸底排查，建立完善以县级为单位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完善困境妇女定期探访关爱制度。</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bookmarkStart w:id="99" w:name="_Toc11898"/>
      <w:bookmarkStart w:id="100" w:name="_Toc17751"/>
      <w:bookmarkStart w:id="101" w:name="_Toc18675"/>
      <w:r>
        <w:rPr>
          <w:rFonts w:hint="eastAsia" w:ascii="楷体" w:hAnsi="楷体" w:eastAsia="楷体" w:cs="楷体"/>
          <w:b w:val="0"/>
          <w:bCs/>
        </w:rPr>
        <w:t>（六）妇女与家庭建设</w:t>
      </w:r>
      <w:bookmarkEnd w:id="99"/>
      <w:bookmarkEnd w:id="100"/>
      <w:bookmarkEnd w:id="101"/>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rPr>
        <w:t>1. 树立新时代家庭观，弘扬爱国爱家、相亲相爱、向上向善、共建共享的社会</w:t>
      </w:r>
      <w:r>
        <w:rPr>
          <w:rFonts w:cs="Times New Roman"/>
          <w:szCs w:val="28"/>
        </w:rPr>
        <w:t>主义家庭文明新风尚，推动社会主义核心价值观在家庭落地生根。</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2. 建立完善促进男女平等和妇女全面发展的家庭政策体系，增强家庭功能，提升家庭发展能力。</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3. 拓展支持家庭与妇女全面发展的公共服务，构建城市社区“15分钟生活圈”、农村社区“半小时生活圈”，千兆宽带网络家庭普及率超过30%。</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4. 注重发挥家庭家教家风在基层社会治理中的重要作用。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5. 充分发挥妇女在家庭生活中的独特作用，弘扬中华民族家庭美德，传承潮汕优秀家风，支持妇女成为幸福安康家庭的建设者、倡导者。</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6. 倡导构建男女平等、和睦、文明的婚姻家庭关系，降低婚姻家庭纠纷对妇女发展的不利影响。</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7. 倡导和支持男女共担家务，缩小两性家务劳动时间差距。</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8. 支持家庭承担赡养老人责任，不断提升老年妇女家庭生活质量。</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9. 促进夫妻共同承担未成年子女的抚养、教育、保护责任，为未成年子女身心发展创造良好家庭环境。</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10. 为家庭提供优生优育服务。</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11. 加强家庭社会工作专业人才队伍培养，全县镇（场）社会工作服务站覆盖率达到100%，困难群众和特殊群众社会工作服务覆盖率达到100%。</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1. 促进家庭成员践行社会主义核心价值观。</w:t>
      </w:r>
      <w:r>
        <w:rPr>
          <w:rFonts w:cs="Times New Roman"/>
          <w:szCs w:val="28"/>
        </w:rPr>
        <w:t>加强教育引导、舆论宣传、文化熏陶、实践养成，宣传尊老爱幼、男女平等、夫妻和睦、勤俭持家、邻里团结等家庭美德，弘扬中华优秀传统家风、革命前辈红色家风，践行社会主义核心价值观的现代家风，营造平等、文明、和谐、稳定的家庭环境，实现共建共享的家庭追求，引导妇女和家庭成员自觉把家庭梦融入中国梦。</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2. 制定出台促进男女平等和妇女全面发展的家庭政策。</w:t>
      </w:r>
      <w:r>
        <w:rPr>
          <w:rFonts w:cs="Times New Roman"/>
          <w:szCs w:val="28"/>
        </w:rPr>
        <w:t>落实人口生育相关法规政策，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完善产假制度，落实生育奖励假制度和配偶陪产假制度，实施父母育儿假。建立促进家庭发展的政策评估机制。</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3. 大力发展家庭公共服务。</w:t>
      </w:r>
      <w:r>
        <w:rPr>
          <w:rFonts w:cs="Times New Roman"/>
          <w:szCs w:val="28"/>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15分钟生活圈”，城市社区综合服务设施实现全覆盖。加强社区托育服务设施建设，完善社区养老托育、家政物业等服务网络和线上平台。发展数字家庭。</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4. 推动家庭家教家风在基层社会治理中发挥重要作用。</w:t>
      </w:r>
      <w:r>
        <w:rPr>
          <w:rFonts w:cs="Times New Roman"/>
          <w:szCs w:val="28"/>
        </w:rPr>
        <w:t>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szCs w:val="28"/>
          <w:lang w:val="zh-TW" w:bidi="zh-TW"/>
        </w:rPr>
        <w:t>5. 鼓励支持妇女在家庭生活中发挥独特作用。</w:t>
      </w:r>
      <w:r>
        <w:rPr>
          <w:rFonts w:cs="Times New Roman"/>
          <w:szCs w:val="28"/>
        </w:rPr>
        <w:t>弘扬中华民族家庭美德，传承潮汕优秀家风，深入实施“南粤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w:t>
      </w:r>
      <w:r>
        <w:rPr>
          <w:rFonts w:cs="Times New Roman"/>
        </w:rPr>
        <w:t>庭建设。</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lang w:val="zh-TW"/>
        </w:rPr>
        <w:t>6. 促进婚姻家庭关系健康发展。</w:t>
      </w:r>
      <w:r>
        <w:rPr>
          <w:rFonts w:cs="Times New Roman"/>
        </w:rPr>
        <w:t>面向家庭开展有关法律法规政策宣传，促进男女平等观念在婚姻</w:t>
      </w:r>
      <w:r>
        <w:rPr>
          <w:rFonts w:cs="Times New Roman"/>
          <w:szCs w:val="28"/>
        </w:rPr>
        <w:t>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加强对广播电视、网络等婚恋活动和服务的规范管理。</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7. 提升家庭社会工作专业化服务水平。</w:t>
      </w:r>
      <w:r>
        <w:rPr>
          <w:rFonts w:cs="Times New Roman"/>
          <w:szCs w:val="28"/>
        </w:rPr>
        <w:t>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力争开展“舒心驿站”心理健康服务，有效满足困难家庭和特殊家庭的个性化、多元化、专业化服务需求。鼓励设立常态化婚姻家庭服务项目。</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8. 加强婚姻家庭纠纷预防化解工作。</w:t>
      </w:r>
      <w:r>
        <w:rPr>
          <w:rFonts w:cs="Times New Roman"/>
          <w:szCs w:val="28"/>
        </w:rPr>
        <w:t>健全婚姻家庭纠纷预防化解工作机制，发挥综治中心和网格化服务管理作用，强化衔接联动，加强婚姻家庭纠纷预测预防预警，健全纠纷排查调处制度。推动建立镇（场）一级婚姻家庭纠纷人民调解委员会，建设人民调解员队伍，搭建“互联网+”纠纷预防化解工作平台，支持社会力量参与，提供多元便捷服务。根据上级部署，推进家事审判制度改革，加强诉调对接平台建设，构建新型家事纠纷综合协调解决模式。</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9. 促进男女平等分担家务。</w:t>
      </w:r>
      <w:r>
        <w:rPr>
          <w:rFonts w:cs="Times New Roman"/>
          <w:szCs w:val="28"/>
        </w:rPr>
        <w:t>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bidi="zh-TW"/>
        </w:rPr>
        <w:t>10. 提高老年妇女的家庭生活质量。</w:t>
      </w:r>
      <w:r>
        <w:rPr>
          <w:rFonts w:cs="Times New Roman"/>
          <w:szCs w:val="28"/>
        </w:rPr>
        <w:t>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szCs w:val="28"/>
          <w:lang w:val="zh-TW" w:bidi="zh-TW"/>
        </w:rPr>
        <w:t>11. 增强父母共同承担家庭教育责任的意识和能力。</w:t>
      </w:r>
      <w:r>
        <w:rPr>
          <w:rFonts w:cs="Times New Roman"/>
          <w:szCs w:val="28"/>
        </w:rPr>
        <w:t>实施家庭教育法律法规，促进父母共同落实家庭教育主体责任，共同参与未成年子女家庭教育，创造有利于未成年子女健康成长和发展的家庭环境。通过网络媒体定期推送、亲子活动、主题讲座等方式开展宣传培训，帮助父母树立科学家庭教育理念，摒弃“重智轻德”等观念，掌握科学知识和方法，注重言传身教，关注未成年子女身心健康，提高家庭科学育儿能力。鼓励父母加强亲</w:t>
      </w:r>
      <w:r>
        <w:rPr>
          <w:rFonts w:cs="Times New Roman"/>
        </w:rPr>
        <w:t>子交流，提高陪伴质量，共同陪伴未成年子女成长。</w:t>
      </w:r>
    </w:p>
    <w:p>
      <w:pPr>
        <w:pageBreakBefore w:val="0"/>
        <w:kinsoku/>
        <w:wordWrap/>
        <w:overflowPunct/>
        <w:topLinePunct w:val="0"/>
        <w:autoSpaceDE/>
        <w:autoSpaceDN/>
        <w:bidi w:val="0"/>
        <w:adjustRightInd/>
        <w:snapToGrid/>
        <w:spacing w:line="560" w:lineRule="exact"/>
        <w:ind w:firstLine="640"/>
        <w:textAlignment w:val="auto"/>
        <w:rPr>
          <w:rFonts w:cs="Times New Roman"/>
        </w:rPr>
      </w:pPr>
      <w:r>
        <w:rPr>
          <w:rFonts w:cs="Times New Roman"/>
        </w:rPr>
        <w:t>12. 打造智能家居，提升家庭生活品质。推动人工智能技术与传统家电结合，实现传统家电智能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（七）妇女与环境</w:t>
      </w:r>
    </w:p>
    <w:p>
      <w:pPr>
        <w:pStyle w:val="13"/>
        <w:pageBreakBefore w:val="0"/>
        <w:kinsoku/>
        <w:wordWrap/>
        <w:overflowPunct/>
        <w:topLinePunct w:val="0"/>
        <w:autoSpaceDE/>
        <w:autoSpaceDN/>
        <w:bidi w:val="0"/>
        <w:adjustRightInd/>
        <w:snapToGrid/>
        <w:spacing w:line="560" w:lineRule="exact"/>
        <w:ind w:firstLine="640"/>
        <w:jc w:val="left"/>
        <w:textAlignment w:val="auto"/>
        <w:rPr>
          <w:rFonts w:ascii="Times New Roman" w:hAnsi="Times New Roman" w:cs="Times New Roman"/>
          <w:sz w:val="32"/>
          <w:szCs w:val="32"/>
          <w:lang w:eastAsia="zh-CN"/>
        </w:rPr>
      </w:pPr>
      <w:r>
        <w:rPr>
          <w:rFonts w:ascii="Times New Roman" w:hAnsi="Times New Roman" w:cs="Times New Roman"/>
          <w:sz w:val="32"/>
          <w:szCs w:val="32"/>
          <w:lang w:eastAsia="zh-CN"/>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 健全文化与传媒领域的性别平等评估和监管机制。</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2. 全面提升妇女的媒介素养，提高妇女利用信息技术参与新时代经济社会高质量发展的能力。</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3. 提高妇女的生态文明意识，促进妇女践行绿色发展理念，做生态文明建设的推动者和践行者。</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4. 减少环境污染对妇女健康的危害。农村自来水普及率巩固在99%以上，强化城市集中式饮用水水源保护。</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5. 农村无害化卫生厕所实现全覆盖，城镇公共厕所男女厕位比例标准化建设与实际需求相适应。</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6. 妇女应对突发事件能力不断提高，作用得到发挥，特殊需求得到满足。</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7. 提高基本公共文化服务的覆盖面和适用性，妇女享有公共文化服务水平不断提高。</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8. 加强公共场所母婴室建设，实现大型公共场所母婴室全覆盖。</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rPr>
        <w:t>1. 保障妇女享有公共文化服务权益。</w:t>
      </w:r>
      <w:r>
        <w:rPr>
          <w:rFonts w:cs="Times New Roman"/>
          <w:szCs w:val="32"/>
        </w:rPr>
        <w:t>丰富优质文化产品和公共文化服务供给，健全城乡公共文化服务体系，加强公共文化设施建设，满足妇女精神文化需求。强化服务网络和妇女儿童阵地文化活动功能，鼓励图书室设立妇女读书专栏（专柜），鼓励支持提供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2. 加强文化与传媒领域性别平等培训、评估和监管。</w:t>
      </w:r>
      <w:r>
        <w:rPr>
          <w:rFonts w:cs="Times New Roman"/>
          <w:szCs w:val="32"/>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提高媒体决策和管理者及从业人员的性别意识。逐步实现性别平等审视的制度化和常态化，为妇女发展创设友好舆论环境。</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3. 引导妇女提高媒介素养。</w:t>
      </w:r>
      <w:r>
        <w:rPr>
          <w:rFonts w:cs="Times New Roman"/>
          <w:szCs w:val="32"/>
        </w:rPr>
        <w:t>利用学校、妇女之家、图书馆、网络课堂等开展面向妇女的媒介素养培训和指导，加强妇女网络素养教育，提升妇女对媒介信息选择、判断和有效利用的能力，提升妇女网络安全意识和能力，消除性别数字鸿沟。重点帮助老年妇女、困难妇女和残疾妇女群体掌握网络基本知识技能。开展争做“巾帼好网民”活动，推动妇女弘扬网上正能量。</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4. 促进妇女共建共享城乡人居环境改善成果。</w:t>
      </w:r>
      <w:r>
        <w:rPr>
          <w:rFonts w:cs="Times New Roman"/>
          <w:szCs w:val="32"/>
        </w:rPr>
        <w:t>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5. 改善人居环境，保障城乡妇女饮水安全。</w:t>
      </w:r>
      <w:r>
        <w:rPr>
          <w:rFonts w:cs="Times New Roman"/>
          <w:szCs w:val="32"/>
        </w:rPr>
        <w:t>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市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p>
    <w:p>
      <w:pPr>
        <w:pageBreakBefore w:val="0"/>
        <w:kinsoku/>
        <w:wordWrap/>
        <w:overflowPunct/>
        <w:topLinePunct w:val="0"/>
        <w:autoSpaceDE/>
        <w:autoSpaceDN/>
        <w:bidi w:val="0"/>
        <w:adjustRightInd/>
        <w:snapToGrid/>
        <w:spacing w:line="560" w:lineRule="exact"/>
        <w:ind w:firstLine="640"/>
        <w:textAlignment w:val="auto"/>
        <w:rPr>
          <w:rFonts w:eastAsia="楷体" w:cs="Times New Roman"/>
          <w:szCs w:val="32"/>
        </w:rPr>
      </w:pPr>
      <w:r>
        <w:rPr>
          <w:rFonts w:cs="Times New Roman"/>
          <w:szCs w:val="32"/>
          <w:lang w:val="zh-TW" w:bidi="zh-TW"/>
        </w:rPr>
        <w:t>6. 加强符合妇女需求的卫生厕所建设。</w:t>
      </w:r>
      <w:r>
        <w:rPr>
          <w:rFonts w:cs="Times New Roman"/>
          <w:szCs w:val="32"/>
        </w:rPr>
        <w:t>推进城镇公共厕所改造，完善落实城镇公共厕所设计标准，推动将男女厕位比例的规范化建设和达标率纳入文明社区、文明村镇、文明单位、文明校园的评选标准。城镇公共厕所在新建和改建时，女厕位与男厕位的比例不小于1.5</w:t>
      </w:r>
      <w:r>
        <w:rPr>
          <w:rFonts w:eastAsia="仿宋" w:cs="Times New Roman"/>
          <w:szCs w:val="32"/>
        </w:rPr>
        <w:t>﹕</w:t>
      </w:r>
      <w:r>
        <w:rPr>
          <w:rFonts w:cs="Times New Roman"/>
          <w:szCs w:val="32"/>
        </w:rPr>
        <w:t>1，人流量较大地区不小于2</w:t>
      </w:r>
      <w:r>
        <w:rPr>
          <w:rFonts w:eastAsia="仿宋" w:cs="Times New Roman"/>
          <w:szCs w:val="32"/>
        </w:rPr>
        <w:t>﹕</w:t>
      </w:r>
      <w:r>
        <w:rPr>
          <w:rFonts w:cs="Times New Roman"/>
          <w:szCs w:val="32"/>
        </w:rPr>
        <w:t>1。分类有序推进农村厕所革命，提高卫生厕所普及率，加强厕所粪污无害化处理与资源化利用。推动旅游景区、商场、客流超过1万人次的交通枢纽和服务区等公共场所建设第三卫生间。</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7. 加强公共场所母婴室建设。</w:t>
      </w:r>
      <w:r>
        <w:rPr>
          <w:rFonts w:cs="Times New Roman"/>
          <w:szCs w:val="32"/>
        </w:rPr>
        <w:t>加强公共场所母婴室的标准化建设和规范化管理。在火车站、长途客运车站、机场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设置母婴室或增加母乳喂养设施。健全母婴室运行管理制度，做好日常安全管理和维护。</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8. 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r>
        <w:rPr>
          <w:rFonts w:hint="eastAsia" w:ascii="楷体" w:hAnsi="楷体" w:eastAsia="楷体" w:cs="楷体"/>
          <w:b w:val="0"/>
          <w:bCs/>
        </w:rPr>
        <w:t>（八）妇女与法律</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主要目标：</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 全面贯彻落实男女平等宪法原则和基本国策，坚定落实保障妇女合法权益的法规政策。</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2. 促进法规政策性别平等评估机制规范化建设和有效运行。</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3. 提高妇女尊法学法守法用法的意识和能力。充分发挥妇女在法治惠来建设中的作用。</w:t>
      </w:r>
    </w:p>
    <w:p>
      <w:pPr>
        <w:pageBreakBefore w:val="0"/>
        <w:kinsoku/>
        <w:wordWrap/>
        <w:overflowPunct/>
        <w:topLinePunct w:val="0"/>
        <w:autoSpaceDE/>
        <w:autoSpaceDN/>
        <w:bidi w:val="0"/>
        <w:adjustRightInd/>
        <w:snapToGrid/>
        <w:spacing w:line="560" w:lineRule="exact"/>
        <w:ind w:firstLine="640"/>
        <w:jc w:val="left"/>
        <w:textAlignment w:val="auto"/>
        <w:rPr>
          <w:rFonts w:cs="Times New Roman"/>
          <w:szCs w:val="32"/>
          <w:lang w:val="zh-TW" w:bidi="zh-TW"/>
        </w:rPr>
      </w:pPr>
      <w:r>
        <w:rPr>
          <w:rFonts w:cs="Times New Roman"/>
          <w:szCs w:val="32"/>
          <w:lang w:val="zh-TW" w:eastAsia="zh-TW" w:bidi="zh-TW"/>
        </w:rPr>
        <w:t>4</w:t>
      </w:r>
      <w:r>
        <w:rPr>
          <w:rFonts w:cs="Times New Roman"/>
          <w:szCs w:val="32"/>
          <w:lang w:val="zh-TW" w:bidi="zh-TW"/>
        </w:rPr>
        <w:t xml:space="preserve">. </w:t>
      </w:r>
      <w:r>
        <w:rPr>
          <w:rFonts w:cs="Times New Roman"/>
          <w:szCs w:val="32"/>
          <w:lang w:val="zh-TW" w:eastAsia="zh-TW" w:bidi="zh-TW"/>
        </w:rPr>
        <w:t>深入实施反家庭暴力法</w:t>
      </w:r>
      <w:r>
        <w:rPr>
          <w:rFonts w:cs="Times New Roman"/>
          <w:szCs w:val="32"/>
          <w:lang w:val="zh-TW" w:bidi="zh-TW"/>
        </w:rPr>
        <w:t>，</w:t>
      </w:r>
      <w:r>
        <w:rPr>
          <w:rFonts w:cs="Times New Roman"/>
          <w:szCs w:val="32"/>
          <w:lang w:val="zh-TW" w:eastAsia="zh-TW" w:bidi="zh-TW"/>
        </w:rPr>
        <w:t>预防和制止针对妇女一切形式的家庭暴力</w:t>
      </w:r>
      <w:r>
        <w:rPr>
          <w:rFonts w:cs="Times New Roman"/>
          <w:szCs w:val="32"/>
          <w:lang w:val="zh-TW" w:bidi="zh-TW"/>
        </w:rPr>
        <w:t>，</w:t>
      </w:r>
      <w:r>
        <w:rPr>
          <w:rFonts w:cs="Times New Roman"/>
          <w:szCs w:val="32"/>
          <w:lang w:val="zh-TW" w:eastAsia="zh-TW" w:bidi="zh-TW"/>
        </w:rPr>
        <w:t>加强受害妇女救助。</w:t>
      </w:r>
      <w:r>
        <w:rPr>
          <w:rFonts w:cs="Times New Roman"/>
          <w:szCs w:val="32"/>
          <w:lang w:val="zh-TW" w:eastAsia="zh-TW"/>
        </w:rPr>
        <w:t>设立1个以上家庭暴力庇护场所。</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5. 严厉打击拐卖、性侵害妇女，卖淫嫖娼等违法犯罪行为。</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6. 严厉打击利用网络对妇女实施的违法犯罪行为。提高侵害妇女人身权益的刑事案件破案率和结案率。</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7. 提升预防和制止性骚扰的法治意识，有效遏制针对妇女的性骚扰。</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8. 保障妇女在家庭关系中的财产所有权、继承权、子女抚养权，保障妇女对婚姻家庭关系中共同财产享有知情权和平等处理权。</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9. 保障妇女平等获得公共法律服务。保障遭受侵害妇女获得及时有效的司法救助。</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10. 建立完善女性被害人保护救助支持体系。</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策略措施：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rPr>
        <w:t>1. 将男女平等宪法原则和基本国策贯彻落实到法治</w:t>
      </w:r>
      <w:r>
        <w:rPr>
          <w:rFonts w:cs="Times New Roman"/>
          <w:szCs w:val="32"/>
        </w:rPr>
        <w:t>惠来</w:t>
      </w:r>
      <w:r>
        <w:rPr>
          <w:rFonts w:cs="Times New Roman"/>
          <w:szCs w:val="32"/>
          <w:lang w:val="zh-TW"/>
        </w:rPr>
        <w:t>建设全过程。</w:t>
      </w:r>
      <w:r>
        <w:rPr>
          <w:rFonts w:cs="Times New Roman"/>
          <w:szCs w:val="32"/>
        </w:rPr>
        <w:t>落实保障妇女合法权益的法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rPr>
        <w:t>2. 加强法规政策性别平等评估工作。</w:t>
      </w:r>
      <w:r>
        <w:rPr>
          <w:rFonts w:cs="Times New Roman"/>
          <w:szCs w:val="32"/>
        </w:rPr>
        <w:t>健全县政策性别平等评估机制，明确评估主体和范围，规范评估流程，细化评估指标。开展性别平等评估相关培训，加强专业化队伍建设，将男女平等基本国策落实在法规、规章、政策实施全过程各环节。</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3. 提升妇女法治意识和参与法治</w:t>
      </w:r>
      <w:r>
        <w:rPr>
          <w:rFonts w:cs="Times New Roman"/>
          <w:szCs w:val="32"/>
          <w:lang w:bidi="zh-TW"/>
        </w:rPr>
        <w:t>惠来</w:t>
      </w:r>
      <w:r>
        <w:rPr>
          <w:rFonts w:cs="Times New Roman"/>
          <w:szCs w:val="32"/>
          <w:lang w:val="zh-TW" w:bidi="zh-TW"/>
        </w:rPr>
        <w:t>建设的能力。</w:t>
      </w:r>
      <w:r>
        <w:rPr>
          <w:rFonts w:cs="Times New Roman"/>
          <w:szCs w:val="32"/>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4. 加大反家庭暴力法律法规的实施力度。</w:t>
      </w:r>
      <w:r>
        <w:rPr>
          <w:rFonts w:cs="Times New Roman"/>
          <w:szCs w:val="32"/>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5. 坚决打击拐卖妇女犯罪。</w:t>
      </w:r>
      <w:r>
        <w:rPr>
          <w:rFonts w:cs="Times New Roman"/>
          <w:szCs w:val="32"/>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6. 加大对组织、强迫、引诱、容留、介绍卖淫等犯罪行为的打击力度。</w:t>
      </w:r>
      <w:r>
        <w:rPr>
          <w:rFonts w:cs="Times New Roman"/>
          <w:szCs w:val="32"/>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化整治机制，鼓励群众监督和举报涉黄违法犯罪行为。</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7. 有效遏制和严厉惩处强奸、猥亵、侮辱妇女特别是女童和智力、精神残疾妇女的违法犯罪行为。</w:t>
      </w:r>
      <w:r>
        <w:rPr>
          <w:rFonts w:cs="Times New Roman"/>
          <w:kern w:val="0"/>
          <w:szCs w:val="32"/>
        </w:rPr>
        <w:t>加强有关法律法规宣传普及，提高群众法律意识，在全社会形成预防性侵害宣传氛围。举办反侵防侵宣传活动，提升妇女尤其是女童的防性侵意识和能力，提高家长保护未成年子女的意识。坚持以“零容忍”的态度，持续开展打击性侵害犯罪专项行动。</w:t>
      </w:r>
      <w:r>
        <w:rPr>
          <w:rFonts w:cs="Times New Roman"/>
          <w:szCs w:val="32"/>
        </w:rPr>
        <w:t>建立完善重点人群和家庭关爱服务机制、侵权案件发现报告机制、多部门联防联动机制和侵权案件推进工作督查制度。完善立案侦查制度，及时、全面、一次性收集固定证据，避免受害妇女遭受“二次伤害”。</w:t>
      </w:r>
      <w:r>
        <w:rPr>
          <w:rFonts w:cs="Times New Roman"/>
          <w:kern w:val="0"/>
          <w:szCs w:val="32"/>
        </w:rPr>
        <w:t>加强重点场所及有性侵害前科人员动态管控。</w:t>
      </w:r>
      <w:r>
        <w:rPr>
          <w:rFonts w:cs="Times New Roman"/>
          <w:szCs w:val="32"/>
        </w:rPr>
        <w:t>建立性侵害违法犯罪人员信息查询系统，完善和落实从业禁止制度。加强对受害妇女的隐私保护、心理辅导和干预。</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8. 预防和制止针对妇女的性骚扰。</w:t>
      </w:r>
      <w:r>
        <w:rPr>
          <w:rFonts w:cs="Times New Roman"/>
          <w:szCs w:val="32"/>
        </w:rPr>
        <w:t>支持完善防治性骚扰的相关立法。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9. 保障妇女免遭利用网络实施违法犯罪行为的侵害。</w:t>
      </w:r>
      <w:r>
        <w:rPr>
          <w:rFonts w:cs="Times New Roman"/>
          <w:szCs w:val="32"/>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10. 在婚姻家庭和继承案件处理中依法保障妇女的财产权益。</w:t>
      </w:r>
      <w:r>
        <w:rPr>
          <w:rFonts w:cs="Times New Roman"/>
          <w:szCs w:val="32"/>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lang w:val="zh-TW" w:bidi="zh-TW"/>
        </w:rPr>
        <w:t>11. 为妇女提供优质高效的公共法律服务。</w:t>
      </w:r>
      <w:r>
        <w:rPr>
          <w:rFonts w:cs="Times New Roman"/>
          <w:szCs w:val="32"/>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12. 建立健全妇女被害人保护救助支持体系。依法保护妇女被害人隐私。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pStyle w:val="3"/>
        <w:pageBreakBefore w:val="0"/>
        <w:kinsoku/>
        <w:wordWrap/>
        <w:overflowPunct/>
        <w:topLinePunct w:val="0"/>
        <w:autoSpaceDE/>
        <w:autoSpaceDN/>
        <w:bidi w:val="0"/>
        <w:adjustRightInd/>
        <w:snapToGrid/>
        <w:spacing w:before="0" w:beforeLines="0" w:line="560" w:lineRule="exact"/>
        <w:ind w:firstLine="640" w:firstLineChars="200"/>
        <w:textAlignment w:val="auto"/>
        <w:rPr>
          <w:rFonts w:cs="Times New Roman"/>
        </w:rPr>
      </w:pPr>
      <w:r>
        <w:rPr>
          <w:rFonts w:cs="Times New Roman"/>
        </w:rPr>
        <w:t>三、重点工程</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（一）南粤妇幼健康保护工程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val="zh-TW" w:eastAsia="zh-TW" w:bidi="zh-TW"/>
        </w:rPr>
        <w:t>推动实施孕前优生健康检查、出生缺陷防控和农村妇女</w:t>
      </w:r>
      <w:r>
        <w:rPr>
          <w:rFonts w:cs="Times New Roman"/>
          <w:szCs w:val="28"/>
          <w:lang w:val="zh-TW" w:bidi="zh-TW"/>
        </w:rPr>
        <w:t>“</w:t>
      </w:r>
      <w:r>
        <w:rPr>
          <w:rFonts w:cs="Times New Roman"/>
          <w:szCs w:val="28"/>
          <w:lang w:val="zh-TW" w:eastAsia="zh-TW" w:bidi="zh-TW"/>
        </w:rPr>
        <w:t>两癌</w:t>
      </w:r>
      <w:r>
        <w:rPr>
          <w:rFonts w:cs="Times New Roman"/>
          <w:szCs w:val="28"/>
          <w:lang w:val="zh-TW" w:bidi="zh-TW"/>
        </w:rPr>
        <w:t>”</w:t>
      </w:r>
      <w:r>
        <w:rPr>
          <w:rFonts w:cs="Times New Roman"/>
          <w:szCs w:val="28"/>
          <w:lang w:val="zh-TW" w:eastAsia="zh-TW" w:bidi="zh-TW"/>
        </w:rPr>
        <w:t>检查等项目，提高妇女及幼儿健康水平。实施消除艾滋病、梅毒和乙肝病毒母婴传播项目。适龄妇女乳腺癌人群筛</w:t>
      </w:r>
      <w:r>
        <w:rPr>
          <w:rFonts w:cs="Times New Roman"/>
          <w:szCs w:val="28"/>
        </w:rPr>
        <w:t>查率逐步提高，宫颈癌人群筛查率达到70%以上，逐步将人乳头瘤病毒（HPV）疫苗接种纳入公共卫生服务。落实母婴安全五项制度、完善县重症孕产妇救治、重症新生儿救治、出生缺陷综合干预体系建设。建立快速转运通道，提高孕产妇和新生儿医疗保健救治能力。孕产妇死亡率下降到8/10万以下。建设1所政府举办的标准化妇幼保健机构，力争实现每千名儿童至少拥有儿科执业（助理）医生1.12名、床位3.17张。适龄儿童免疫规划疫苗接种率以镇（场）为单位保持在90%以上。</w:t>
      </w:r>
    </w:p>
    <w:p>
      <w:pPr>
        <w:pStyle w:val="13"/>
        <w:pageBreakBefore w:val="0"/>
        <w:kinsoku/>
        <w:wordWrap/>
        <w:overflowPunct/>
        <w:topLinePunct w:val="0"/>
        <w:autoSpaceDE/>
        <w:autoSpaceDN/>
        <w:bidi w:val="0"/>
        <w:adjustRightInd/>
        <w:snapToGrid/>
        <w:spacing w:line="560" w:lineRule="exact"/>
        <w:ind w:firstLine="640"/>
        <w:textAlignment w:val="auto"/>
        <w:rPr>
          <w:rFonts w:ascii="Times New Roman" w:hAnsi="Times New Roman" w:cs="Times New Roman"/>
          <w:sz w:val="32"/>
          <w:szCs w:val="32"/>
        </w:rPr>
      </w:pPr>
      <w:r>
        <w:rPr>
          <w:rFonts w:ascii="Times New Roman" w:hAnsi="Times New Roman" w:cs="Times New Roman"/>
          <w:kern w:val="0"/>
          <w:sz w:val="32"/>
          <w:szCs w:val="32"/>
          <w:lang w:eastAsia="zh-CN"/>
        </w:rPr>
        <w:t>落实“</w:t>
      </w:r>
      <w:r>
        <w:rPr>
          <w:rFonts w:ascii="Times New Roman" w:hAnsi="Times New Roman" w:cs="Times New Roman"/>
          <w:kern w:val="0"/>
          <w:sz w:val="32"/>
          <w:szCs w:val="32"/>
          <w:lang w:val="en-US" w:eastAsia="zh-CN"/>
        </w:rPr>
        <w:t>揭阳妇幼</w:t>
      </w:r>
      <w:r>
        <w:rPr>
          <w:rFonts w:ascii="Times New Roman" w:hAnsi="Times New Roman" w:cs="Times New Roman"/>
          <w:kern w:val="0"/>
          <w:sz w:val="32"/>
          <w:szCs w:val="32"/>
          <w:lang w:eastAsia="zh-CN"/>
        </w:rPr>
        <w:t>健康提升计划”，健全国民体质监测服务体系，加强体质测试和健身指导服务，加快建设一批公共体育场馆、户外健身场地和生态体育公园，实现公共体育服务城乡全覆盖，城乡建成“十五分钟健身圈”。因地制宜开展英歌舞、</w:t>
      </w:r>
      <w:r>
        <w:rPr>
          <w:rFonts w:ascii="Times New Roman" w:hAnsi="Times New Roman" w:cs="Times New Roman"/>
          <w:kern w:val="0"/>
          <w:sz w:val="32"/>
          <w:szCs w:val="32"/>
          <w:lang w:val="en-US" w:eastAsia="zh-CN"/>
        </w:rPr>
        <w:t>舞</w:t>
      </w:r>
      <w:r>
        <w:rPr>
          <w:rFonts w:ascii="Times New Roman" w:hAnsi="Times New Roman" w:cs="Times New Roman"/>
          <w:kern w:val="0"/>
          <w:sz w:val="32"/>
          <w:szCs w:val="32"/>
          <w:lang w:eastAsia="zh-CN"/>
        </w:rPr>
        <w:t>狮、舞龙、放</w:t>
      </w:r>
      <w:r>
        <w:rPr>
          <w:rFonts w:ascii="Times New Roman" w:hAnsi="Times New Roman" w:cs="Times New Roman"/>
          <w:kern w:val="0"/>
          <w:sz w:val="32"/>
          <w:szCs w:val="32"/>
          <w:lang w:val="en-US" w:eastAsia="zh-CN"/>
        </w:rPr>
        <w:t>风筝</w:t>
      </w:r>
      <w:r>
        <w:rPr>
          <w:rFonts w:ascii="Times New Roman" w:hAnsi="Times New Roman" w:cs="Times New Roman"/>
          <w:kern w:val="0"/>
          <w:sz w:val="32"/>
          <w:szCs w:val="32"/>
          <w:lang w:eastAsia="zh-CN"/>
        </w:rPr>
        <w:t>、武术、转陀螺等潮汕传统体育项目，推动健身行动，增强妇女儿童身体素质。</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（二）南粤巾帼家政领跑者工程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依托“南粤家政”工程，重点实施母婴服务、居家服务、养老服务、医护服务四大项目，推动建设培养示范、综合服务、交流合作、行业发展四大平台。大力组织女性劳动力参加家政职业技</w:t>
      </w:r>
      <w:r>
        <w:rPr>
          <w:rFonts w:cs="Times New Roman"/>
          <w:szCs w:val="28"/>
          <w:lang w:val="zh-TW" w:eastAsia="zh-TW" w:bidi="zh-TW"/>
        </w:rPr>
        <w:t>能培训</w:t>
      </w:r>
      <w:r>
        <w:rPr>
          <w:rFonts w:cs="Times New Roman"/>
          <w:szCs w:val="28"/>
          <w:lang w:val="zh-TW" w:bidi="zh-TW"/>
        </w:rPr>
        <w:t>，推广“工学一体化”“职业培训包”“互联网+”等先进培训方式，推动云计算、大数据、移动智能终端等在职业技能培训领域的应用，提高培训便利度和可及性。</w:t>
      </w:r>
      <w:r>
        <w:rPr>
          <w:rFonts w:cs="Times New Roman"/>
          <w:szCs w:val="28"/>
          <w:lang w:val="zh-TW" w:eastAsia="zh-TW" w:bidi="zh-TW"/>
        </w:rPr>
        <w:t>促进家政行业的就业创业。完善和落实社保补贴、吸纳就业补贴等扶持政策</w:t>
      </w:r>
      <w:r>
        <w:rPr>
          <w:rFonts w:cs="Times New Roman"/>
          <w:szCs w:val="28"/>
        </w:rPr>
        <w:t>，推动员工制家政企业占比显著提高。进一步完善家政服务信用、标准、产业、保障体系。</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（三）妇女就业创业支持工程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深入推进职业教育提质扩容，优化职业教育办学体制机制，促进女性接受高质量职业教育，企业女职工接受职业技能培训的比例保持并巩固在95%以上。鼓励职业院校面向女性高校毕业生、女农民工、女职工等重点人群开展就业创业和职业技能培训。深入实施职业技能提升行动，推进“粤菜师傅”“广东技工”“南粤家政”三项工程高质量发展，促进妇女就业创业。优化升级</w:t>
      </w:r>
      <w:r>
        <w:rPr>
          <w:rFonts w:cs="Times New Roman"/>
          <w:szCs w:val="28"/>
          <w:lang w:val="zh-TW" w:eastAsia="zh-TW" w:bidi="zh-TW"/>
        </w:rPr>
        <w:t>援企稳岗政策</w:t>
      </w:r>
      <w:r>
        <w:rPr>
          <w:rFonts w:cs="Times New Roman"/>
          <w:szCs w:val="28"/>
          <w:lang w:val="zh-TW" w:bidi="zh-TW"/>
        </w:rPr>
        <w:t>，</w:t>
      </w:r>
      <w:r>
        <w:rPr>
          <w:rFonts w:cs="Times New Roman"/>
          <w:szCs w:val="28"/>
          <w:lang w:val="zh-TW" w:eastAsia="zh-TW" w:bidi="zh-TW"/>
        </w:rPr>
        <w:t>增加妇女就业岗位</w:t>
      </w:r>
      <w:r>
        <w:rPr>
          <w:rFonts w:cs="Times New Roman"/>
          <w:szCs w:val="28"/>
          <w:lang w:val="zh-TW" w:bidi="zh-TW"/>
        </w:rPr>
        <w:t>。</w:t>
      </w:r>
      <w:r>
        <w:rPr>
          <w:rFonts w:cs="Times New Roman"/>
          <w:szCs w:val="28"/>
          <w:lang w:val="zh-TW" w:eastAsia="zh-TW" w:bidi="zh-TW"/>
        </w:rPr>
        <w:t>实施</w:t>
      </w:r>
      <w:r>
        <w:rPr>
          <w:rFonts w:cs="Times New Roman"/>
          <w:szCs w:val="28"/>
        </w:rPr>
        <w:t>妇女创业小额担保贷款贴息项目，扩大受惠面，提升实施效果。</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lang w:bidi="zh-TW"/>
        </w:rPr>
        <w:t>依托</w:t>
      </w:r>
      <w:r>
        <w:rPr>
          <w:rFonts w:cs="Times New Roman"/>
          <w:szCs w:val="28"/>
          <w:lang w:val="zh-TW" w:bidi="zh-TW"/>
        </w:rPr>
        <w:t>县、镇（场）、村（社区）劳动信息三级联网</w:t>
      </w:r>
      <w:r>
        <w:rPr>
          <w:rFonts w:cs="Times New Roman"/>
          <w:szCs w:val="28"/>
          <w:lang w:bidi="zh-TW"/>
        </w:rPr>
        <w:t>和</w:t>
      </w:r>
      <w:r>
        <w:rPr>
          <w:rFonts w:cs="Times New Roman"/>
          <w:szCs w:val="28"/>
          <w:lang w:val="zh-TW" w:bidi="zh-TW"/>
        </w:rPr>
        <w:t>远程用工信息网络服务平台，</w:t>
      </w:r>
      <w:r>
        <w:rPr>
          <w:rFonts w:cs="Times New Roman"/>
          <w:szCs w:val="28"/>
          <w:lang w:bidi="zh-TW"/>
        </w:rPr>
        <w:t>拓展</w:t>
      </w:r>
      <w:r>
        <w:rPr>
          <w:rFonts w:cs="Times New Roman"/>
          <w:szCs w:val="28"/>
          <w:lang w:val="zh-TW" w:bidi="zh-TW"/>
        </w:rPr>
        <w:t>城乡劳动力转移就业渠道。对广大妇女开展电商运营、短视频创作、直播带货等创新创业培训和职业技能培训，提升妇女数字技能，引导广大妇女运用电子商务、微信平台等新技术，拓宽妇女创业致富新空间。</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（四）南粤巾帼乡村振兴工程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实施高素质女农民和“乡村振兴女致富带头人”培养计划，推动将农村妇女培训纳入政府普惠性培训计划，农村技能培训女性人数占总培训人数达50%左右。依托农职院、农函校、妇干校和妇女之家等阵地，为返乡下乡创业女性提供及时便利的政策咨询、项目对接、融资牵引等服</w:t>
      </w:r>
      <w:r>
        <w:rPr>
          <w:rFonts w:cs="Times New Roman"/>
          <w:szCs w:val="28"/>
          <w:lang w:val="zh-TW" w:eastAsia="zh-TW" w:bidi="zh-TW"/>
        </w:rPr>
        <w:t>务。坚持做大做强特色优势产业</w:t>
      </w:r>
      <w:r>
        <w:rPr>
          <w:rFonts w:cs="Times New Roman"/>
          <w:szCs w:val="28"/>
          <w:lang w:val="zh-TW" w:bidi="zh-TW"/>
        </w:rPr>
        <w:t>，引导广大妇女参与推进南药、凤梨、冬瓜、红萝卜、油茶、番薯、大蒜种植和对虾、鲍鱼、种禽养殖等10个农业产业“万亩工程”建设，为打造“一镇一业、一村一品”贡献巾帼力量。</w:t>
      </w:r>
      <w:r>
        <w:rPr>
          <w:rFonts w:cs="Times New Roman"/>
          <w:szCs w:val="28"/>
          <w:lang w:val="zh-TW" w:eastAsia="zh-TW" w:bidi="zh-TW"/>
        </w:rPr>
        <w:t>引领妇</w:t>
      </w:r>
      <w:r>
        <w:rPr>
          <w:rFonts w:cs="Times New Roman"/>
          <w:szCs w:val="28"/>
        </w:rPr>
        <w:t xml:space="preserve">女积极参与农业农村现代化，巩固拓展脱贫成果。发展潮绣、潮汕竹编工艺、手钩花等潮汕妇女特色产业，打造妇女手工品牌。增强农村低收入妇女群体的可持续发展能力。 </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动员妇女主动参与农村人居环境整治和乡村社会治理。围绕农村人居环境整治提升专项行动的部署要求，开展“绿色惠来 美丽庭院”活动。积极推动潮汕祠堂、潮式院墅开展“绿化角”“庭院花圃”扮靓庭院环境，组织开展环境污染防治、庭院评比、邻里互助、敬老爱老等服务，实现“家里门外净起来、房前屋后绿起来、庭院环境美起来”。努力营造生态环境优美、人与自然和谐共处的绿色惠来、美丽惠来。促进妇女共建共享城乡人居环境改善成果。</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（五）南粤家家幸福安康工程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实施家庭文明创建行动、家庭教育支持行动、家庭服务提升行动、家庭研究深化行动，逐步形成家庭教育指导服务体系，构建家校社共育格局，加快普惠婴幼儿托育服务建设，提升家庭支持服务能力，关爱困难家庭。将婚姻家庭纠纷排查化解纳入综治网格管理，婚姻家庭纠纷人民调解组织实现县、镇（场）二级全覆盖，鼓励建立婚姻家庭纠纷人民调解工作室，探索设立专职调解员公益岗位。培育婚姻家庭服务专业人才。</w:t>
      </w:r>
    </w:p>
    <w:p>
      <w:pPr>
        <w:pStyle w:val="5"/>
        <w:pageBreakBefore w:val="0"/>
        <w:kinsoku/>
        <w:wordWrap/>
        <w:overflowPunct/>
        <w:topLinePunct w:val="0"/>
        <w:autoSpaceDE/>
        <w:autoSpaceDN/>
        <w:bidi w:val="0"/>
        <w:adjustRightInd/>
        <w:snapToGrid/>
        <w:spacing w:after="0" w:line="560" w:lineRule="exact"/>
        <w:ind w:firstLine="640"/>
        <w:textAlignment w:val="auto"/>
        <w:rPr>
          <w:rFonts w:cs="Times New Roman"/>
        </w:rPr>
      </w:pPr>
      <w:r>
        <w:rPr>
          <w:rFonts w:cs="Times New Roman"/>
        </w:rPr>
        <w:t>实施“潮文化工程”，弘扬潮汕优秀传统文化，传承潮汕优秀家风。深挖红色文化、历史文化、海洋文化、民族文化等传统潮汕特色文化资源，通过开展线上潮汕家风家教云课堂、线下家庭教育活动，加强教育引导、舆论宣传、文化熏陶、实践养成，引导妇女和家庭成员建设好家庭、实施好家教、弘扬好家风。</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（六）公共场所母婴室建设工程</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加强公共场所母婴室的标准化建设和规范化管理。在日人流量大的主要公共场所建设母婴室。鼓励用人单位和其他公共场所设置母婴室或增加母乳喂养设施。</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（七）南粤巾帼志愿服务关爱工程</w:t>
      </w:r>
    </w:p>
    <w:p>
      <w:pPr>
        <w:pStyle w:val="13"/>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宋体" w:cs="Times New Roman"/>
          <w:sz w:val="32"/>
          <w:szCs w:val="32"/>
          <w:lang w:eastAsia="zh-CN"/>
        </w:rPr>
      </w:pPr>
      <w:r>
        <w:rPr>
          <w:rFonts w:ascii="Times New Roman" w:hAnsi="Times New Roman" w:cs="Times New Roman"/>
          <w:sz w:val="32"/>
          <w:szCs w:val="32"/>
        </w:rPr>
        <w:t>健全完善巾帼志愿服务体系机制</w:t>
      </w:r>
      <w:r>
        <w:rPr>
          <w:rFonts w:ascii="Times New Roman" w:hAnsi="Times New Roman" w:cs="Times New Roman"/>
          <w:sz w:val="32"/>
          <w:szCs w:val="32"/>
          <w:lang w:eastAsia="zh-CN"/>
        </w:rPr>
        <w:t>，</w:t>
      </w:r>
      <w:r>
        <w:rPr>
          <w:rFonts w:ascii="Times New Roman" w:hAnsi="Times New Roman" w:cs="Times New Roman"/>
          <w:sz w:val="32"/>
          <w:szCs w:val="32"/>
        </w:rPr>
        <w:t>动员引导广大妇女弘扬志愿精神</w:t>
      </w:r>
      <w:r>
        <w:rPr>
          <w:rFonts w:ascii="Times New Roman" w:hAnsi="Times New Roman" w:cs="Times New Roman"/>
          <w:sz w:val="32"/>
          <w:szCs w:val="32"/>
          <w:lang w:eastAsia="zh-CN"/>
        </w:rPr>
        <w:t>，</w:t>
      </w:r>
      <w:r>
        <w:rPr>
          <w:rFonts w:ascii="Times New Roman" w:hAnsi="Times New Roman" w:cs="Times New Roman"/>
          <w:sz w:val="32"/>
          <w:szCs w:val="32"/>
        </w:rPr>
        <w:t>深化巾帼志愿服务关爱行动</w:t>
      </w:r>
      <w:r>
        <w:rPr>
          <w:rFonts w:ascii="Times New Roman" w:hAnsi="Times New Roman" w:cs="Times New Roman"/>
          <w:sz w:val="32"/>
          <w:szCs w:val="32"/>
          <w:lang w:eastAsia="zh-CN"/>
        </w:rPr>
        <w:t>，</w:t>
      </w:r>
      <w:r>
        <w:rPr>
          <w:rFonts w:ascii="Times New Roman" w:hAnsi="Times New Roman" w:cs="Times New Roman"/>
          <w:sz w:val="32"/>
          <w:szCs w:val="32"/>
        </w:rPr>
        <w:t>在扶弱帮困、婚姻调适、家庭教育、纠纷调解、心灵关怀、助老助残等关爱服务中促进社会变得更加美好。每个城乡社区都有巾帼志愿服务队伍或开展巾帼志愿服务</w:t>
      </w:r>
      <w:r>
        <w:rPr>
          <w:rFonts w:ascii="Times New Roman" w:hAnsi="Times New Roman" w:cs="Times New Roman"/>
          <w:sz w:val="32"/>
          <w:szCs w:val="32"/>
          <w:lang w:eastAsia="zh-CN"/>
        </w:rPr>
        <w:t>。</w:t>
      </w:r>
    </w:p>
    <w:p>
      <w:pPr>
        <w:pStyle w:val="3"/>
        <w:pageBreakBefore w:val="0"/>
        <w:kinsoku/>
        <w:wordWrap/>
        <w:overflowPunct/>
        <w:topLinePunct w:val="0"/>
        <w:autoSpaceDE/>
        <w:autoSpaceDN/>
        <w:bidi w:val="0"/>
        <w:adjustRightInd/>
        <w:snapToGrid/>
        <w:spacing w:before="0" w:beforeLines="0" w:line="560" w:lineRule="exact"/>
        <w:ind w:firstLine="640" w:firstLineChars="200"/>
        <w:textAlignment w:val="auto"/>
        <w:rPr>
          <w:rFonts w:cs="Times New Roman"/>
        </w:rPr>
      </w:pPr>
      <w:r>
        <w:rPr>
          <w:rFonts w:cs="Times New Roman"/>
        </w:rPr>
        <w:t>四、</w:t>
      </w:r>
      <w:r>
        <w:rPr>
          <w:rFonts w:cs="Times New Roman"/>
          <w:lang w:val="zh-CN"/>
        </w:rPr>
        <w:t>组</w:t>
      </w:r>
      <w:r>
        <w:rPr>
          <w:rFonts w:cs="Times New Roman"/>
        </w:rPr>
        <w:t>织实施</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（一）坚持党的全面领导</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坚持以习近平新时代中国特色社会主义思想为指导，坚持以人民为中心的发展思想，坚持走中国特色社会主义妇女发展道路，把党的领导贯穿于规划组织实施的全过程。坚决贯彻落实党中央、国务院关于妇女事业发展的决策部署，在统筹推进“五位一体”总体布局、协调推进“四个全面”战略布局中推进规划实施；认真落实县委、县政府的有关工作要求，坚持和完善促进男女平等、妇女全面发展的制度机制。</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lang w:val="zh-TW"/>
        </w:rPr>
      </w:pPr>
      <w:r>
        <w:rPr>
          <w:rFonts w:hint="eastAsia" w:ascii="楷体" w:hAnsi="楷体" w:eastAsia="楷体" w:cs="楷体"/>
          <w:b w:val="0"/>
          <w:bCs/>
          <w:lang w:val="zh-TW"/>
        </w:rPr>
        <w:t>（二）落实规划实施责任</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完善落实党委领导、政府主责、妇女儿童工作委员会（以下简称妇儿工委）协调、多部门合作、全社会参与的规划实施工作机制。全县各级人民政府负责规划实施工作，各级妇儿工委负责组织、协调、指导、督促工作，各级妇儿工委办公室负责具体工作。有关部门、相关机构和人民团体结合职责，承担规划目标任务落实工作。在编制规划、部署工作时贯彻落实男女平等基本国策，切实保障妇女合法权益，促进妇女全面发展。</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（三）加强规划与</w:t>
      </w:r>
      <w:r>
        <w:rPr>
          <w:rFonts w:hint="eastAsia" w:ascii="楷体" w:hAnsi="楷体" w:eastAsia="楷体" w:cs="楷体"/>
          <w:b w:val="0"/>
          <w:bCs w:val="0"/>
          <w:szCs w:val="28"/>
          <w:lang w:bidi="zh-TW"/>
        </w:rPr>
        <w:t>惠来</w:t>
      </w:r>
      <w:r>
        <w:rPr>
          <w:rFonts w:hint="eastAsia" w:ascii="楷体" w:hAnsi="楷体" w:eastAsia="楷体" w:cs="楷体"/>
          <w:b w:val="0"/>
          <w:bCs w:val="0"/>
          <w:szCs w:val="28"/>
          <w:lang w:val="zh-TW" w:bidi="zh-TW"/>
        </w:rPr>
        <w:t>经济和社会发展规划的衔接</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将规划实施以及妇女事业发展纳入经济社会发展总体规划及相关专项规划，结合经济社会发展总体规划部署要求推进规划实施工作，实现妇女事业发展与经济社会发展同步规划、同步部署、同步推进、同步落实。</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（四）制定地方妇女发展规划和部门实施方案</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县人民政府依据《中国妇女发展纲要》和上级妇女发展规划，结合实际制定县妇女发展规划。</w:t>
      </w:r>
      <w:r>
        <w:rPr>
          <w:rFonts w:hint="eastAsia" w:cs="Times New Roman"/>
          <w:szCs w:val="28"/>
          <w:lang w:val="en-US" w:eastAsia="zh-CN"/>
        </w:rPr>
        <w:t>规划颁布后1个月内报送市妇儿工委办公室。各地、县直</w:t>
      </w:r>
      <w:r>
        <w:rPr>
          <w:rFonts w:cs="Times New Roman"/>
          <w:szCs w:val="28"/>
        </w:rPr>
        <w:t>承担规划目标任务的有关部门、相关机构和人民团体结合职责，按照任务分工，制定实施方案并报送县妇儿工委办公室。</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（五）完善实施规划的制度机制</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实施情况和下一年工作安排，下级妇儿工委每年向上级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（六）保障妇女发展经费投入</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县人民政府将实施规划所需工作经费纳入财政预算，逐步加大对妇女发展经费投入，实现妇女事业和经济社会同步发展。重点支持革命老区妇女发展，支持特殊困难妇女群体发展。动员社会力量，多渠道筹集资源，共同发展妇女事业。</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（七）坚持和创新实施规划的有效做法</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坚持问题导向、目标导向、结果导向，依据促进妇女发展的法规政策体系，完善妇女合法权益保障机制，实施促进妇女发展的民生项目。通过分类指导、示范先行，总结推广好做法好经验。通过政府购买服务等方式，发挥社会力量推进规划实施的作用。开展与县（市、区）的交流合作，交流互鉴经验，讲好惠来妇女发展故事，宣传惠来妇女事业发展成就。</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（八）加强实施规划能力建设</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（九）加大实施规划宣传力度</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大力宣传习近平总书记关于妇女和妇女工作的重要论述，宣传在党的坚强领导下妇女事业发展的成就，宣传男女平等基本国策和保障妇女合法权益、促进妇女发展的法律法规政策，宣传规划内容及规划实施的经验和成效，努力营造有利于妇女发展的社会氛围。</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（十）加强妇女发展调查研究</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充分发挥县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（十一）鼓励社会各界广泛参与规划实施</w:t>
      </w:r>
    </w:p>
    <w:p>
      <w:pPr>
        <w:pageBreakBefore w:val="0"/>
        <w:kinsoku/>
        <w:wordWrap/>
        <w:overflowPunct/>
        <w:topLinePunct w:val="0"/>
        <w:autoSpaceDE/>
        <w:autoSpaceDN/>
        <w:bidi w:val="0"/>
        <w:adjustRightInd/>
        <w:snapToGrid/>
        <w:spacing w:line="560" w:lineRule="exact"/>
        <w:ind w:firstLine="640"/>
        <w:textAlignment w:val="auto"/>
        <w:rPr>
          <w:rFonts w:cs="Times New Roman"/>
          <w:szCs w:val="28"/>
        </w:rPr>
      </w:pPr>
      <w:r>
        <w:rPr>
          <w:rFonts w:cs="Times New Roman"/>
          <w:szCs w:val="28"/>
        </w:rPr>
        <w:t>鼓励企事业单位、社会组织、慈善机构和公益人士参与保障妇女合法权益、促进妇女发展等工作。鼓励妇女参与规划实施，提高妇女在参与规划实施中实现自身全面发展的意识和能力。</w:t>
      </w:r>
    </w:p>
    <w:p>
      <w:pPr>
        <w:pStyle w:val="3"/>
        <w:pageBreakBefore w:val="0"/>
        <w:kinsoku/>
        <w:wordWrap/>
        <w:overflowPunct/>
        <w:topLinePunct w:val="0"/>
        <w:autoSpaceDE/>
        <w:autoSpaceDN/>
        <w:bidi w:val="0"/>
        <w:adjustRightInd/>
        <w:snapToGrid/>
        <w:spacing w:before="0" w:beforeLines="0" w:line="560" w:lineRule="exact"/>
        <w:ind w:firstLine="640" w:firstLineChars="200"/>
        <w:textAlignment w:val="auto"/>
        <w:rPr>
          <w:rFonts w:cs="Times New Roman"/>
        </w:rPr>
      </w:pPr>
      <w:r>
        <w:rPr>
          <w:rFonts w:cs="Times New Roman"/>
        </w:rPr>
        <w:t>五、监测评估</w:t>
      </w:r>
    </w:p>
    <w:p>
      <w:pPr>
        <w:pageBreakBefore w:val="0"/>
        <w:kinsoku/>
        <w:wordWrap/>
        <w:overflowPunct/>
        <w:topLinePunct w:val="0"/>
        <w:autoSpaceDE/>
        <w:autoSpaceDN/>
        <w:bidi w:val="0"/>
        <w:adjustRightInd/>
        <w:snapToGrid/>
        <w:spacing w:line="560" w:lineRule="exact"/>
        <w:ind w:firstLine="643"/>
        <w:textAlignment w:val="auto"/>
        <w:outlineLvl w:val="1"/>
        <w:rPr>
          <w:rFonts w:hint="eastAsia" w:ascii="楷体" w:hAnsi="楷体" w:eastAsia="楷体" w:cs="楷体"/>
          <w:b w:val="0"/>
          <w:bCs w:val="0"/>
          <w:szCs w:val="28"/>
          <w:lang w:val="zh-TW" w:bidi="zh-TW"/>
        </w:rPr>
      </w:pPr>
      <w:r>
        <w:rPr>
          <w:rFonts w:hint="eastAsia" w:ascii="楷体" w:hAnsi="楷体" w:eastAsia="楷体" w:cs="楷体"/>
          <w:b w:val="0"/>
          <w:bCs w:val="0"/>
          <w:szCs w:val="28"/>
          <w:lang w:val="zh-TW" w:bidi="zh-TW"/>
        </w:rPr>
        <w:t>（一）加强监测评估制度建设</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对规划实施情况进行年度监测、中期评估、终期评估。落实并逐步完善性别统计监测方案。健全重点统计监测制度和规划实施达标情况预警督办制度。县统计部门牵头组织开展年度监测，妇儿工委成员单位、有关部门、相关机构向统计部门报送年度监测数据，及时收集、分析反映妇女发展状况的相关数据和信息。</w:t>
      </w:r>
      <w:r>
        <w:rPr>
          <w:rFonts w:hint="eastAsia" w:cs="Times New Roman"/>
          <w:szCs w:val="32"/>
          <w:lang w:val="en-US" w:eastAsia="zh-CN"/>
        </w:rPr>
        <w:t>县</w:t>
      </w:r>
      <w:r>
        <w:rPr>
          <w:rFonts w:cs="Times New Roman"/>
          <w:szCs w:val="32"/>
        </w:rPr>
        <w:t>妇儿工委组织开展中期和终期评估，</w:t>
      </w:r>
      <w:r>
        <w:rPr>
          <w:rFonts w:hint="eastAsia" w:cs="Times New Roman"/>
          <w:szCs w:val="32"/>
          <w:lang w:val="en-US" w:eastAsia="zh-CN"/>
        </w:rPr>
        <w:t>县</w:t>
      </w:r>
      <w:r>
        <w:rPr>
          <w:rFonts w:cs="Times New Roman"/>
          <w:szCs w:val="32"/>
        </w:rPr>
        <w:t>妇儿工委成员单位、有关部门、相关机构向县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财政预算。</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szCs w:val="32"/>
          <w:lang w:val="zh-TW"/>
        </w:rPr>
      </w:pPr>
      <w:r>
        <w:rPr>
          <w:rFonts w:hint="eastAsia" w:ascii="楷体" w:hAnsi="楷体" w:eastAsia="楷体" w:cs="楷体"/>
          <w:b w:val="0"/>
          <w:bCs/>
          <w:szCs w:val="32"/>
          <w:lang w:val="zh-TW"/>
        </w:rPr>
        <w:t>（二）加强监测评估工作组织领导</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hint="eastAsia" w:cs="Times New Roman"/>
          <w:szCs w:val="32"/>
          <w:lang w:val="en-US" w:eastAsia="zh-CN"/>
        </w:rPr>
        <w:t>县</w:t>
      </w:r>
      <w:r>
        <w:rPr>
          <w:rFonts w:cs="Times New Roman"/>
          <w:szCs w:val="32"/>
        </w:rPr>
        <w:t>妇儿工委设立监测评估领导小组，由</w:t>
      </w:r>
      <w:r>
        <w:rPr>
          <w:rFonts w:hint="eastAsia" w:cs="Times New Roman"/>
          <w:szCs w:val="32"/>
          <w:lang w:val="en-US" w:eastAsia="zh-CN"/>
        </w:rPr>
        <w:t>县</w:t>
      </w:r>
      <w:r>
        <w:rPr>
          <w:rFonts w:cs="Times New Roman"/>
          <w:szCs w:val="32"/>
        </w:rPr>
        <w:t>妇儿工委及相关部门负责同志组成，负责组织领导监测评估工作，审批监测评估方案，审核监测评估报告等。领导小组下设监测组和评估组。监测组由县统计部门牵头，相关部门负责规划实施情况统计监测的人员参加，负责监测工作的组织、指导和培训，制定监测方案和指标体系，收集、分析数据信息，向县妇儿工委提交年度、中期和终期监测报告，编辑出版年度妇女儿童统计资料。监测组成员负责统筹协调本部门规划实施监测、分析、数据上报、分性别分年龄指标完善等工作。</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评估组由县妇儿工委办公室牵头，相关部门负责规划实施情况统计监测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szCs w:val="32"/>
          <w:lang w:val="zh-TW"/>
        </w:rPr>
      </w:pPr>
      <w:r>
        <w:rPr>
          <w:rFonts w:hint="eastAsia" w:ascii="楷体" w:hAnsi="楷体" w:eastAsia="楷体" w:cs="楷体"/>
          <w:b w:val="0"/>
          <w:bCs/>
          <w:szCs w:val="32"/>
          <w:lang w:val="zh-TW"/>
        </w:rPr>
        <w:t>（三）加强分性别统计监测工作</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规范完善并适时调整性别统计监测指标体系，发挥部门作用，根据需要调整扩充妇女发展统计指标，推动纳入国家和部门常规统计以及统计调查制度，加强部门分性别统计工作，推进分性别分年龄统计监测制度化建设。加强统计监测队伍建设，加快统计监测信息化建设。健全完善县妇女发展统计监测数据库，完善监测数据网上报送系统。鼓励支持相关部门对妇女发展缺项数据开展专项统计调查。</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szCs w:val="32"/>
          <w:lang w:val="zh-TW"/>
        </w:rPr>
      </w:pPr>
      <w:r>
        <w:rPr>
          <w:rFonts w:hint="eastAsia" w:ascii="楷体" w:hAnsi="楷体" w:eastAsia="楷体" w:cs="楷体"/>
          <w:b w:val="0"/>
          <w:bCs/>
          <w:szCs w:val="32"/>
          <w:lang w:val="zh-TW"/>
        </w:rPr>
        <w:t>（四）提升监测评估工作能力和水平</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将规划实施中的实</w:t>
      </w:r>
      <w:r>
        <w:rPr>
          <w:rFonts w:hint="eastAsia" w:cs="Times New Roman"/>
          <w:szCs w:val="32"/>
        </w:rPr>
        <w:t>事</w:t>
      </w:r>
      <w:r>
        <w:rPr>
          <w:rFonts w:cs="Times New Roman"/>
          <w:szCs w:val="32"/>
        </w:rPr>
        <w:t>项目、重点工程纳入专项督查，推动重点问题的解决。县妇儿工委对县级规划的监测评估工作进行指导，对规划实施情况进行检查和督导。</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szCs w:val="32"/>
          <w:lang w:val="zh-TW"/>
        </w:rPr>
      </w:pPr>
      <w:r>
        <w:rPr>
          <w:rFonts w:hint="eastAsia" w:ascii="楷体" w:hAnsi="楷体" w:eastAsia="楷体" w:cs="楷体"/>
          <w:b w:val="0"/>
          <w:bCs/>
          <w:szCs w:val="32"/>
          <w:lang w:val="zh-TW"/>
        </w:rPr>
        <w:t>（五）有效利用监测评估成果</w:t>
      </w:r>
    </w:p>
    <w:p>
      <w:pPr>
        <w:pageBreakBefore w:val="0"/>
        <w:kinsoku/>
        <w:wordWrap/>
        <w:overflowPunct/>
        <w:topLinePunct w:val="0"/>
        <w:autoSpaceDE/>
        <w:autoSpaceDN/>
        <w:bidi w:val="0"/>
        <w:adjustRightInd/>
        <w:snapToGrid/>
        <w:spacing w:line="560" w:lineRule="exact"/>
        <w:ind w:firstLine="640"/>
        <w:textAlignment w:val="auto"/>
        <w:rPr>
          <w:rFonts w:cs="Times New Roman"/>
          <w:szCs w:val="32"/>
        </w:rPr>
      </w:pPr>
      <w:r>
        <w:rPr>
          <w:rFonts w:cs="Times New Roman"/>
          <w:szCs w:val="32"/>
        </w:rPr>
        <w:t>发挥监测评估结果服务决策的作用，定期向县人民政府及相关部门报送监测评估情况，为决策提供依据。建立监测评估报告交流、反馈和发布机制。加强监评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default" w:ascii="楷体" w:hAnsi="楷体" w:eastAsia="楷体" w:cs="楷体"/>
          <w:b w:val="0"/>
          <w:bCs/>
          <w:lang w:val="en-US" w:eastAsia="zh-CN"/>
        </w:rPr>
      </w:pP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p>
    <w:p>
      <w:pPr>
        <w:pStyle w:val="4"/>
        <w:pageBreakBefore w:val="0"/>
        <w:kinsoku/>
        <w:wordWrap/>
        <w:overflowPunct/>
        <w:topLinePunct w:val="0"/>
        <w:autoSpaceDE/>
        <w:autoSpaceDN/>
        <w:bidi w:val="0"/>
        <w:adjustRightInd/>
        <w:snapToGrid/>
        <w:spacing w:before="0" w:beforeLines="0" w:line="560" w:lineRule="exact"/>
        <w:ind w:firstLine="643"/>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2"/>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rPr>
      </w:pPr>
    </w:p>
    <w:p>
      <w:pPr>
        <w:pStyle w:val="1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黑体" w:cs="Times New Roman"/>
          <w:color w:val="auto"/>
          <w:kern w:val="2"/>
          <w:lang w:eastAsia="zh-CN"/>
        </w:rPr>
      </w:pPr>
      <w:r>
        <w:rPr>
          <w:rFonts w:hint="default" w:ascii="Times New Roman" w:hAnsi="Times New Roman" w:eastAsia="黑体" w:cs="Times New Roman"/>
          <w:color w:val="auto"/>
          <w:kern w:val="2"/>
          <w:lang w:eastAsia="zh-CN"/>
        </w:rPr>
        <w:t>惠来县儿童发展规划</w:t>
      </w:r>
    </w:p>
    <w:p>
      <w:pPr>
        <w:pStyle w:val="1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i w:val="0"/>
          <w:iCs w:val="0"/>
          <w:color w:val="auto"/>
          <w:sz w:val="52"/>
          <w:szCs w:val="52"/>
          <w:lang w:val="zh-TW" w:eastAsia="zh-TW" w:bidi="zh-TW"/>
        </w:rPr>
      </w:pPr>
      <w:r>
        <w:rPr>
          <w:rFonts w:hint="default" w:ascii="Times New Roman" w:hAnsi="Times New Roman" w:eastAsia="黑体" w:cs="Times New Roman"/>
          <w:i w:val="0"/>
          <w:iCs w:val="0"/>
          <w:color w:val="auto"/>
          <w:sz w:val="52"/>
          <w:szCs w:val="52"/>
          <w:lang w:eastAsia="zh-CN"/>
        </w:rPr>
        <w:t>（</w:t>
      </w:r>
      <w:r>
        <w:rPr>
          <w:rFonts w:hint="default" w:ascii="Times New Roman" w:hAnsi="Times New Roman" w:eastAsia="黑体" w:cs="Times New Roman"/>
          <w:i w:val="0"/>
          <w:iCs w:val="0"/>
          <w:color w:val="auto"/>
          <w:kern w:val="2"/>
          <w:sz w:val="52"/>
          <w:szCs w:val="52"/>
          <w:lang w:val="zh-TW" w:eastAsia="zh-CN" w:bidi="zh-TW"/>
        </w:rPr>
        <w:t>2021—2030</w:t>
      </w:r>
      <w:r>
        <w:rPr>
          <w:rFonts w:hint="default" w:ascii="Times New Roman" w:hAnsi="Times New Roman" w:eastAsia="黑体" w:cs="Times New Roman"/>
          <w:i w:val="0"/>
          <w:iCs w:val="0"/>
          <w:color w:val="auto"/>
          <w:sz w:val="52"/>
          <w:szCs w:val="52"/>
          <w:lang w:eastAsia="zh-CN"/>
        </w:rPr>
        <w:t xml:space="preserve"> 年）</w:t>
      </w:r>
    </w:p>
    <w:p>
      <w:pPr>
        <w:pStyle w:val="13"/>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黑体" w:cs="Times New Roman"/>
          <w:i w:val="0"/>
          <w:iCs w:val="0"/>
          <w:color w:val="auto"/>
          <w:sz w:val="44"/>
          <w:szCs w:val="44"/>
          <w:lang w:val="zh-TW" w:eastAsia="zh-CN" w:bidi="zh-TW"/>
        </w:rPr>
      </w:pPr>
    </w:p>
    <w:p>
      <w:pPr>
        <w:pStyle w:val="14"/>
        <w:rPr>
          <w:rFonts w:hint="default" w:ascii="Times New Roman" w:hAnsi="Times New Roman" w:cs="Times New Roman"/>
          <w:color w:val="auto"/>
        </w:rPr>
      </w:pPr>
    </w:p>
    <w:p>
      <w:pPr>
        <w:pStyle w:val="14"/>
        <w:rPr>
          <w:rFonts w:hint="eastAsia" w:eastAsia="宋体" w:cs="Times New Roman"/>
          <w:color w:val="auto"/>
          <w:lang w:val="en-US" w:eastAsia="zh-CN"/>
        </w:rPr>
      </w:pPr>
      <w:r>
        <w:rPr>
          <w:rFonts w:hint="eastAsia" w:eastAsia="宋体" w:cs="Times New Roman"/>
          <w:color w:val="auto"/>
          <w:lang w:val="en-US" w:eastAsia="zh-CN"/>
        </w:rPr>
        <w:t xml:space="preserve"> </w:t>
      </w:r>
    </w:p>
    <w:p>
      <w:pPr>
        <w:pStyle w:val="14"/>
        <w:rPr>
          <w:rFonts w:hint="default" w:eastAsia="宋体" w:cs="Times New Roman"/>
          <w:color w:val="auto"/>
          <w:lang w:val="en-US" w:eastAsia="zh-CN"/>
        </w:rPr>
      </w:pPr>
    </w:p>
    <w:p>
      <w:pPr>
        <w:pStyle w:val="14"/>
        <w:rPr>
          <w:rFonts w:hint="default" w:ascii="Times New Roman" w:hAnsi="Times New Roman" w:eastAsia="仿宋" w:cs="Times New Roman"/>
          <w:color w:val="auto"/>
          <w:lang w:eastAsia="zh-CN"/>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p>
    <w:p>
      <w:pPr>
        <w:pStyle w:val="14"/>
        <w:ind w:left="0" w:leftChars="0" w:firstLine="0" w:firstLineChars="0"/>
        <w:jc w:val="both"/>
        <w:rPr>
          <w:rFonts w:hint="eastAsia" w:ascii="仿宋_GB2312" w:hAnsi="仿宋_GB2312" w:eastAsia="仿宋_GB2312" w:cs="仿宋_GB2312"/>
          <w:color w:val="auto"/>
          <w:sz w:val="44"/>
          <w:szCs w:val="44"/>
        </w:rPr>
      </w:pPr>
    </w:p>
    <w:p>
      <w:pPr>
        <w:pStyle w:val="14"/>
        <w:rPr>
          <w:rFonts w:hint="eastAsia" w:ascii="仿宋_GB2312" w:hAnsi="仿宋_GB2312" w:eastAsia="仿宋_GB2312" w:cs="仿宋_GB2312"/>
          <w:color w:val="auto"/>
          <w:sz w:val="44"/>
          <w:szCs w:val="44"/>
        </w:rPr>
      </w:pPr>
    </w:p>
    <w:p>
      <w:pPr>
        <w:pStyle w:val="2"/>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44"/>
          <w:szCs w:val="44"/>
          <w:lang w:eastAsia="zh-CN"/>
        </w:rPr>
      </w:pPr>
      <w:r>
        <w:rPr>
          <w:rFonts w:hint="default" w:ascii="Times New Roman" w:hAnsi="Times New Roman" w:cs="Times New Roman"/>
          <w:b/>
          <w:bCs/>
          <w:color w:val="auto"/>
          <w:sz w:val="44"/>
          <w:szCs w:val="44"/>
          <w:lang w:eastAsia="zh-CN"/>
        </w:rPr>
        <w:t>目</w:t>
      </w:r>
      <w:r>
        <w:rPr>
          <w:rFonts w:hint="default" w:ascii="Times New Roman" w:hAnsi="Times New Roman" w:cs="Times New Roman"/>
          <w:b/>
          <w:bCs/>
          <w:color w:val="auto"/>
          <w:sz w:val="44"/>
          <w:szCs w:val="44"/>
          <w:lang w:val="en-US" w:eastAsia="zh-CN"/>
        </w:rPr>
        <w:t xml:space="preserve"> </w:t>
      </w:r>
      <w:r>
        <w:rPr>
          <w:rFonts w:hint="default" w:ascii="Times New Roman" w:hAnsi="Times New Roman" w:cs="Times New Roman"/>
          <w:b/>
          <w:bCs/>
          <w:color w:val="auto"/>
          <w:sz w:val="44"/>
          <w:szCs w:val="44"/>
          <w:lang w:eastAsia="zh-CN"/>
        </w:rPr>
        <w:t>录</w:t>
      </w:r>
      <w:bookmarkStart w:id="102" w:name="_Toc107092426"/>
    </w:p>
    <w:p>
      <w:pPr>
        <w:pStyle w:val="2"/>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44"/>
          <w:szCs w:val="44"/>
          <w:lang w:eastAsia="zh-CN"/>
        </w:rPr>
      </w:pPr>
    </w:p>
    <w:p>
      <w:pPr>
        <w:keepNext w:val="0"/>
        <w:keepLines w:val="0"/>
        <w:widowControl/>
        <w:suppressLineNumbers w:val="0"/>
        <w:jc w:val="left"/>
        <w:rPr>
          <w:rFonts w:hint="eastAsia" w:ascii="仿宋_GB2312" w:hAnsi="仿宋_GB2312" w:eastAsia="仿宋_GB2312" w:cs="仿宋_GB2312"/>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一、</w:t>
      </w:r>
      <w:r>
        <w:rPr>
          <w:rFonts w:hint="eastAsia" w:ascii="黑体" w:hAnsi="黑体" w:eastAsia="黑体" w:cs="黑体"/>
          <w:b w:val="0"/>
          <w:bCs w:val="0"/>
          <w:color w:val="auto"/>
          <w:sz w:val="32"/>
          <w:szCs w:val="32"/>
          <w:lang w:eastAsia="zh-CN" w:bidi="ar-SA"/>
        </w:rPr>
        <w:t>总</w:t>
      </w:r>
      <w:r>
        <w:rPr>
          <w:rFonts w:hint="eastAsia" w:ascii="黑体" w:hAnsi="黑体" w:eastAsia="黑体" w:cs="黑体"/>
          <w:b w:val="0"/>
          <w:bCs w:val="0"/>
          <w:color w:val="auto"/>
          <w:sz w:val="32"/>
          <w:szCs w:val="32"/>
          <w:lang w:val="en-US" w:eastAsia="zh-CN" w:bidi="ar-SA"/>
        </w:rPr>
        <w:t>体要</w:t>
      </w:r>
      <w:r>
        <w:rPr>
          <w:rFonts w:hint="eastAsia" w:ascii="黑体" w:hAnsi="黑体" w:eastAsia="黑体" w:cs="黑体"/>
          <w:b w:val="0"/>
          <w:bCs w:val="0"/>
          <w:color w:val="auto"/>
          <w:sz w:val="32"/>
          <w:szCs w:val="32"/>
          <w:lang w:eastAsia="zh-CN" w:bidi="ar-SA"/>
        </w:rPr>
        <w:t>求</w:t>
      </w:r>
      <w:bookmarkEnd w:id="102"/>
      <w:bookmarkStart w:id="103" w:name="_Toc107092427"/>
      <w:r>
        <w:rPr>
          <w:rFonts w:hint="eastAsia" w:ascii="黑体" w:hAnsi="黑体" w:eastAsia="黑体" w:cs="黑体"/>
          <w:b w:val="0"/>
          <w:bCs w:val="0"/>
          <w:color w:val="auto"/>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57</w:t>
      </w:r>
    </w:p>
    <w:p>
      <w:pPr>
        <w:pStyle w:val="2"/>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指导思想</w:t>
      </w:r>
      <w:bookmarkEnd w:id="103"/>
      <w:bookmarkStart w:id="104" w:name="_Toc107092428"/>
      <w:r>
        <w:rPr>
          <w:rFonts w:hint="eastAsia" w:ascii="楷体" w:hAnsi="楷体" w:eastAsia="楷体" w:cs="楷体"/>
          <w:b w:val="0"/>
          <w:bCs/>
          <w:color w:val="auto"/>
          <w:kern w:val="2"/>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57</w:t>
      </w:r>
    </w:p>
    <w:p>
      <w:pPr>
        <w:pStyle w:val="2"/>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总体目标</w:t>
      </w:r>
      <w:bookmarkEnd w:id="104"/>
      <w:bookmarkStart w:id="105" w:name="_Toc107092429"/>
      <w:r>
        <w:rPr>
          <w:rFonts w:hint="eastAsia" w:ascii="楷体" w:hAnsi="楷体" w:eastAsia="楷体" w:cs="楷体"/>
          <w:b w:val="0"/>
          <w:bCs/>
          <w:color w:val="auto"/>
          <w:kern w:val="2"/>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57</w:t>
      </w:r>
    </w:p>
    <w:p>
      <w:pPr>
        <w:pStyle w:val="2"/>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z w:val="32"/>
          <w:szCs w:val="32"/>
          <w:lang w:eastAsia="zh-CN" w:bidi="ar-SA"/>
        </w:rPr>
      </w:pPr>
      <w:r>
        <w:rPr>
          <w:rFonts w:hint="eastAsia" w:ascii="黑体" w:hAnsi="黑体" w:eastAsia="黑体" w:cs="黑体"/>
          <w:b w:val="0"/>
          <w:bCs w:val="0"/>
          <w:color w:val="auto"/>
          <w:sz w:val="32"/>
          <w:szCs w:val="32"/>
          <w:lang w:eastAsia="zh-CN" w:bidi="ar-SA"/>
        </w:rPr>
        <w:t>发展领域、主要目标和策略</w:t>
      </w:r>
      <w:bookmarkEnd w:id="105"/>
      <w:bookmarkStart w:id="106" w:name="_Toc107092430"/>
      <w:r>
        <w:rPr>
          <w:rFonts w:hint="eastAsia" w:ascii="黑体" w:hAnsi="黑体" w:eastAsia="黑体" w:cs="黑体"/>
          <w:b w:val="0"/>
          <w:bCs w:val="0"/>
          <w:color w:val="auto"/>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5</w:t>
      </w:r>
      <w:r>
        <w:rPr>
          <w:rFonts w:hint="eastAsia" w:cs="仿宋_GB2312"/>
          <w:color w:val="231F20"/>
          <w:kern w:val="0"/>
          <w:sz w:val="32"/>
          <w:szCs w:val="32"/>
          <w:lang w:val="en-US" w:eastAsia="zh-CN" w:bidi="ar"/>
        </w:rPr>
        <w:t>8</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儿童与健康</w:t>
      </w:r>
      <w:bookmarkEnd w:id="106"/>
      <w:bookmarkStart w:id="107" w:name="_Toc107092431"/>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58</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儿童与安全</w:t>
      </w:r>
      <w:bookmarkEnd w:id="107"/>
      <w:bookmarkStart w:id="108" w:name="_Toc107092432"/>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65</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儿童与教育</w:t>
      </w:r>
      <w:bookmarkEnd w:id="108"/>
      <w:bookmarkStart w:id="109" w:name="_Toc107092433"/>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69</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儿童与福利</w:t>
      </w:r>
      <w:bookmarkEnd w:id="109"/>
      <w:bookmarkStart w:id="110" w:name="_Toc107092434"/>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74</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儿童与家庭</w:t>
      </w:r>
      <w:bookmarkEnd w:id="110"/>
      <w:bookmarkStart w:id="111" w:name="_Toc107092435"/>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79</w:t>
      </w:r>
    </w:p>
    <w:p>
      <w:pPr>
        <w:pStyle w:val="2"/>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儿童与环境</w:t>
      </w:r>
      <w:bookmarkEnd w:id="111"/>
      <w:bookmarkStart w:id="112" w:name="_Toc107092436"/>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83</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b w:val="0"/>
          <w:bCs/>
          <w:color w:val="auto"/>
          <w:kern w:val="2"/>
          <w:sz w:val="32"/>
          <w:szCs w:val="32"/>
          <w:lang w:eastAsia="zh-CN" w:bidi="ar-SA"/>
        </w:rPr>
        <w:t>（七）儿童与法律保护</w:t>
      </w:r>
      <w:bookmarkEnd w:id="112"/>
      <w:bookmarkStart w:id="113" w:name="_Toc107092437"/>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89</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b w:val="0"/>
          <w:bCs/>
          <w:color w:val="auto"/>
          <w:kern w:val="2"/>
          <w:sz w:val="32"/>
          <w:szCs w:val="32"/>
          <w:lang w:eastAsia="zh-CN" w:bidi="ar-SA"/>
        </w:rPr>
      </w:pPr>
      <w:r>
        <w:rPr>
          <w:rFonts w:hint="eastAsia" w:ascii="黑体" w:hAnsi="黑体" w:eastAsia="黑体" w:cs="黑体"/>
          <w:b w:val="0"/>
          <w:bCs w:val="0"/>
          <w:color w:val="auto"/>
          <w:sz w:val="32"/>
          <w:szCs w:val="32"/>
          <w:lang w:val="en-US" w:eastAsia="zh-CN" w:bidi="ar-SA"/>
        </w:rPr>
        <w:t>三、</w:t>
      </w:r>
      <w:r>
        <w:rPr>
          <w:rFonts w:hint="eastAsia" w:ascii="黑体" w:hAnsi="黑体" w:eastAsia="黑体" w:cs="黑体"/>
          <w:b w:val="0"/>
          <w:bCs w:val="0"/>
          <w:color w:val="auto"/>
          <w:sz w:val="32"/>
          <w:szCs w:val="32"/>
          <w:lang w:eastAsia="zh-CN" w:bidi="ar-SA"/>
        </w:rPr>
        <w:t>重点工程</w:t>
      </w:r>
      <w:bookmarkEnd w:id="113"/>
      <w:bookmarkStart w:id="114" w:name="_Toc107092438"/>
      <w:r>
        <w:rPr>
          <w:rFonts w:hint="eastAsia" w:ascii="黑体" w:hAnsi="黑体" w:eastAsia="黑体" w:cs="黑体"/>
          <w:b w:val="0"/>
          <w:bCs w:val="0"/>
          <w:color w:val="auto"/>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95</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儿童友好城市建设工程</w:t>
      </w:r>
      <w:bookmarkEnd w:id="114"/>
      <w:bookmarkStart w:id="115" w:name="_Toc10709243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95</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普惠托育服务专项工程</w:t>
      </w:r>
      <w:bookmarkEnd w:id="115"/>
      <w:bookmarkStart w:id="116" w:name="_Toc10709244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95</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出生缺陷综合防治工程</w:t>
      </w:r>
      <w:bookmarkEnd w:id="116"/>
      <w:bookmarkStart w:id="117" w:name="_Toc107092441"/>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6</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儿童护眼爱牙</w:t>
      </w:r>
      <w:r>
        <w:rPr>
          <w:rFonts w:hint="eastAsia" w:ascii="楷体" w:hAnsi="楷体" w:eastAsia="楷体" w:cs="楷体"/>
          <w:b w:val="0"/>
          <w:bCs/>
          <w:color w:val="auto"/>
          <w:spacing w:val="17"/>
          <w:kern w:val="2"/>
          <w:sz w:val="32"/>
          <w:szCs w:val="32"/>
          <w:lang w:eastAsia="zh-CN" w:bidi="ar-SA"/>
        </w:rPr>
        <w:t>工程</w:t>
      </w:r>
      <w:bookmarkEnd w:id="117"/>
      <w:bookmarkStart w:id="118" w:name="_Toc10709244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96</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儿童安全教育</w:t>
      </w:r>
      <w:r>
        <w:rPr>
          <w:rFonts w:hint="eastAsia" w:ascii="楷体" w:hAnsi="楷体" w:eastAsia="楷体" w:cs="楷体"/>
          <w:b w:val="0"/>
          <w:bCs/>
          <w:color w:val="auto"/>
          <w:spacing w:val="17"/>
          <w:kern w:val="2"/>
          <w:sz w:val="32"/>
          <w:szCs w:val="32"/>
          <w:lang w:eastAsia="zh-CN" w:bidi="ar-SA"/>
        </w:rPr>
        <w:t>工程</w:t>
      </w:r>
      <w:bookmarkEnd w:id="118"/>
      <w:bookmarkStart w:id="119" w:name="_Toc107092443"/>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96</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净网护苗工程</w:t>
      </w:r>
      <w:bookmarkEnd w:id="119"/>
      <w:bookmarkStart w:id="120" w:name="_Toc107092444"/>
      <w:r>
        <w:rPr>
          <w:rFonts w:hint="eastAsia" w:ascii="黑体" w:hAnsi="黑体" w:eastAsia="黑体" w:cs="黑体"/>
          <w:b w:val="0"/>
          <w:bCs w:val="0"/>
          <w:color w:val="auto"/>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97</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儿童综合素质提升工程</w:t>
      </w:r>
      <w:bookmarkEnd w:id="120"/>
      <w:bookmarkStart w:id="121" w:name="_Toc10709244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8</w:t>
      </w:r>
    </w:p>
    <w:p>
      <w:pPr>
        <w:pStyle w:val="2"/>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家庭教育指导服务工程</w:t>
      </w:r>
      <w:bookmarkEnd w:id="121"/>
      <w:bookmarkStart w:id="122" w:name="_Toc107092446"/>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8</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color w:val="auto"/>
          <w:kern w:val="2"/>
          <w:sz w:val="32"/>
          <w:szCs w:val="32"/>
          <w:lang w:eastAsia="zh-CN" w:bidi="ar-SA"/>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lang w:eastAsia="zh-CN" w:bidi="ar-SA"/>
        </w:rPr>
      </w:pPr>
      <w:r>
        <w:rPr>
          <w:rFonts w:hint="eastAsia" w:ascii="黑体" w:hAnsi="黑体" w:eastAsia="黑体" w:cs="黑体"/>
          <w:b w:val="0"/>
          <w:bCs w:val="0"/>
          <w:color w:val="auto"/>
          <w:sz w:val="32"/>
          <w:szCs w:val="32"/>
          <w:lang w:val="en-US" w:eastAsia="zh-CN" w:bidi="ar-SA"/>
        </w:rPr>
        <w:t>四、</w:t>
      </w:r>
      <w:r>
        <w:rPr>
          <w:rFonts w:hint="eastAsia" w:ascii="黑体" w:hAnsi="黑体" w:eastAsia="黑体" w:cs="黑体"/>
          <w:b w:val="0"/>
          <w:bCs w:val="0"/>
          <w:color w:val="auto"/>
          <w:sz w:val="32"/>
          <w:szCs w:val="32"/>
          <w:lang w:eastAsia="zh-CN" w:bidi="ar-SA"/>
        </w:rPr>
        <w:t>组织实施</w:t>
      </w:r>
      <w:bookmarkEnd w:id="122"/>
      <w:bookmarkStart w:id="123" w:name="_Toc107092447"/>
      <w:bookmarkStart w:id="124" w:name="_Toc94254053"/>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9</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坚持党的全面领导</w:t>
      </w:r>
      <w:bookmarkEnd w:id="123"/>
      <w:bookmarkEnd w:id="124"/>
      <w:bookmarkStart w:id="125" w:name="_Toc107092448"/>
      <w:bookmarkStart w:id="126" w:name="_Toc94254054"/>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9</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落实规划实施责任</w:t>
      </w:r>
      <w:bookmarkEnd w:id="125"/>
      <w:bookmarkEnd w:id="126"/>
      <w:bookmarkStart w:id="127" w:name="_Toc94254055"/>
      <w:bookmarkStart w:id="128" w:name="_Toc10709244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w:t>
      </w:r>
      <w:r>
        <w:rPr>
          <w:rFonts w:hint="eastAsia" w:cs="仿宋_GB2312"/>
          <w:color w:val="231F20"/>
          <w:kern w:val="0"/>
          <w:sz w:val="32"/>
          <w:szCs w:val="32"/>
          <w:lang w:val="en-US" w:eastAsia="zh-CN" w:bidi="ar"/>
        </w:rPr>
        <w:t>9</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加强规划与惠来经济社会发展规划的衔接</w:t>
      </w:r>
      <w:bookmarkEnd w:id="127"/>
      <w:bookmarkEnd w:id="128"/>
      <w:bookmarkStart w:id="129" w:name="_Toc94254056"/>
      <w:bookmarkStart w:id="130" w:name="_Toc10709245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99</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制定地方儿童发展规划和部门实施方案</w:t>
      </w:r>
      <w:bookmarkEnd w:id="129"/>
      <w:bookmarkEnd w:id="130"/>
      <w:bookmarkStart w:id="131" w:name="_Toc107092451"/>
      <w:bookmarkStart w:id="132" w:name="_Toc94254057"/>
      <w:r>
        <w:rPr>
          <w:rFonts w:ascii="FZSSJW--GB1-0" w:hAnsi="FZSSJW--GB1-0" w:eastAsia="FZSSJW--GB1-0" w:cs="FZSSJW--GB1-0"/>
          <w:color w:val="231F20"/>
          <w:kern w:val="0"/>
          <w:sz w:val="22"/>
          <w:szCs w:val="22"/>
          <w:lang w:val="en-US" w:eastAsia="zh-CN" w:bidi="ar"/>
        </w:rPr>
        <w:t>………………</w:t>
      </w:r>
      <w:r>
        <w:rPr>
          <w:rFonts w:hint="eastAsia" w:cs="仿宋_GB2312"/>
          <w:color w:val="231F20"/>
          <w:kern w:val="0"/>
          <w:sz w:val="32"/>
          <w:szCs w:val="32"/>
          <w:lang w:val="en-US" w:eastAsia="zh-CN" w:bidi="ar"/>
        </w:rPr>
        <w:t>100</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完善实施规划的制度机制</w:t>
      </w:r>
      <w:bookmarkEnd w:id="131"/>
      <w:bookmarkEnd w:id="132"/>
      <w:bookmarkStart w:id="133" w:name="_Toc94254058"/>
      <w:bookmarkStart w:id="134" w:name="_Toc107092452"/>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100</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31F20"/>
          <w:kern w:val="0"/>
          <w:sz w:val="32"/>
          <w:szCs w:val="32"/>
          <w:lang w:val="en-US" w:eastAsia="zh-CN" w:bidi="ar"/>
        </w:rPr>
      </w:pPr>
      <w:r>
        <w:rPr>
          <w:rFonts w:hint="eastAsia" w:ascii="楷体" w:hAnsi="楷体" w:eastAsia="楷体" w:cs="楷体"/>
          <w:b w:val="0"/>
          <w:bCs/>
          <w:color w:val="auto"/>
          <w:kern w:val="2"/>
          <w:sz w:val="32"/>
          <w:szCs w:val="32"/>
          <w:lang w:eastAsia="zh-CN" w:bidi="ar-SA"/>
        </w:rPr>
        <w:t>加强儿童发展经费支持</w:t>
      </w:r>
      <w:bookmarkEnd w:id="133"/>
      <w:bookmarkEnd w:id="134"/>
      <w:bookmarkStart w:id="135" w:name="_Toc107092453"/>
      <w:bookmarkStart w:id="136" w:name="_Toc9425405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100</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坚持和创新实施规划的有效做法</w:t>
      </w:r>
      <w:bookmarkEnd w:id="135"/>
      <w:bookmarkEnd w:id="136"/>
      <w:bookmarkStart w:id="137" w:name="_Toc107092454"/>
      <w:bookmarkStart w:id="138" w:name="_Toc94254060"/>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100</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31F20"/>
          <w:kern w:val="0"/>
          <w:sz w:val="32"/>
          <w:szCs w:val="32"/>
          <w:lang w:val="en-US" w:eastAsia="zh-CN" w:bidi="ar"/>
        </w:rPr>
      </w:pPr>
      <w:r>
        <w:rPr>
          <w:rFonts w:hint="eastAsia" w:ascii="楷体" w:hAnsi="楷体" w:eastAsia="楷体" w:cs="楷体"/>
          <w:b w:val="0"/>
          <w:bCs/>
          <w:color w:val="auto"/>
          <w:kern w:val="2"/>
          <w:sz w:val="32"/>
          <w:szCs w:val="32"/>
          <w:lang w:eastAsia="zh-CN" w:bidi="ar-SA"/>
        </w:rPr>
        <w:t>加强实施规划能力建设</w:t>
      </w:r>
      <w:bookmarkEnd w:id="137"/>
      <w:bookmarkEnd w:id="138"/>
      <w:bookmarkStart w:id="139" w:name="_Toc94254061"/>
      <w:bookmarkStart w:id="140" w:name="_Toc10709245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101</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31F20"/>
          <w:kern w:val="0"/>
          <w:sz w:val="32"/>
          <w:szCs w:val="32"/>
          <w:lang w:val="en-US" w:eastAsia="zh-CN" w:bidi="ar"/>
        </w:rPr>
      </w:pPr>
      <w:r>
        <w:rPr>
          <w:rFonts w:hint="eastAsia" w:ascii="楷体" w:hAnsi="楷体" w:eastAsia="楷体" w:cs="楷体"/>
          <w:b w:val="0"/>
          <w:bCs/>
          <w:color w:val="auto"/>
          <w:kern w:val="2"/>
          <w:sz w:val="32"/>
          <w:szCs w:val="32"/>
          <w:lang w:eastAsia="zh-CN" w:bidi="ar-SA"/>
        </w:rPr>
        <w:t>加大实施规划宣传力度</w:t>
      </w:r>
      <w:bookmarkEnd w:id="139"/>
      <w:bookmarkEnd w:id="140"/>
      <w:bookmarkStart w:id="141" w:name="_Toc94254062"/>
      <w:bookmarkStart w:id="142" w:name="_Toc107092456"/>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101</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加强儿童发展调查研究</w:t>
      </w:r>
      <w:bookmarkEnd w:id="141"/>
      <w:bookmarkEnd w:id="142"/>
      <w:bookmarkStart w:id="143" w:name="_Toc94254063"/>
      <w:bookmarkStart w:id="144" w:name="_Toc107092457"/>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101</w:t>
      </w:r>
    </w:p>
    <w:p>
      <w:pPr>
        <w:pStyle w:val="2"/>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color w:val="auto"/>
          <w:kern w:val="2"/>
          <w:sz w:val="32"/>
          <w:szCs w:val="32"/>
          <w:lang w:eastAsia="zh-CN" w:bidi="ar-SA"/>
        </w:rPr>
      </w:pPr>
      <w:r>
        <w:rPr>
          <w:rFonts w:hint="eastAsia" w:ascii="楷体" w:hAnsi="楷体" w:eastAsia="楷体" w:cs="楷体"/>
          <w:b w:val="0"/>
          <w:bCs/>
          <w:color w:val="auto"/>
          <w:kern w:val="2"/>
          <w:sz w:val="32"/>
          <w:szCs w:val="32"/>
          <w:lang w:eastAsia="zh-CN" w:bidi="ar-SA"/>
        </w:rPr>
        <w:t>鼓励社会各界广泛参与规划实施</w:t>
      </w:r>
      <w:bookmarkEnd w:id="143"/>
      <w:bookmarkEnd w:id="144"/>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w:t>
      </w:r>
      <w:r>
        <w:rPr>
          <w:rFonts w:hint="eastAsia" w:cs="仿宋_GB2312"/>
          <w:color w:val="231F20"/>
          <w:kern w:val="0"/>
          <w:sz w:val="32"/>
          <w:szCs w:val="32"/>
          <w:lang w:val="en-US" w:eastAsia="zh-CN" w:bidi="ar"/>
        </w:rPr>
        <w:t>2</w:t>
      </w:r>
    </w:p>
    <w:p>
      <w:pPr>
        <w:pStyle w:val="3"/>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仿宋_GB2312" w:hAnsi="仿宋_GB2312" w:eastAsia="仿宋_GB2312" w:cs="仿宋_GB2312"/>
          <w:color w:val="231F20"/>
          <w:kern w:val="0"/>
          <w:sz w:val="32"/>
          <w:szCs w:val="32"/>
          <w:lang w:val="en-US" w:eastAsia="zh-CN" w:bidi="ar"/>
        </w:rPr>
      </w:pPr>
      <w:bookmarkStart w:id="145" w:name="_Toc107092458"/>
      <w:r>
        <w:rPr>
          <w:rFonts w:hint="eastAsia" w:ascii="黑体" w:hAnsi="黑体" w:eastAsia="黑体" w:cs="黑体"/>
          <w:b w:val="0"/>
          <w:bCs w:val="0"/>
          <w:color w:val="auto"/>
          <w:sz w:val="32"/>
          <w:szCs w:val="32"/>
          <w:lang w:eastAsia="zh-CN" w:bidi="ar-SA"/>
        </w:rPr>
        <w:t>五、监测评估</w:t>
      </w:r>
      <w:bookmarkEnd w:id="145"/>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color w:val="231F20"/>
          <w:kern w:val="0"/>
          <w:sz w:val="32"/>
          <w:szCs w:val="32"/>
          <w:lang w:val="en-US" w:eastAsia="zh-CN" w:bidi="ar"/>
        </w:rPr>
        <w:t>102</w:t>
      </w:r>
    </w:p>
    <w:p>
      <w:pPr>
        <w:pStyle w:val="4"/>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楷体" w:hAnsi="楷体" w:eastAsia="楷体" w:cs="楷体"/>
          <w:b w:val="0"/>
          <w:bCs/>
          <w:color w:val="auto"/>
          <w:kern w:val="2"/>
          <w:sz w:val="32"/>
          <w:szCs w:val="32"/>
          <w:lang w:val="en-US" w:eastAsia="zh-CN" w:bidi="ar-SA"/>
        </w:rPr>
      </w:pPr>
      <w:bookmarkStart w:id="146" w:name="_Toc107092459"/>
      <w:bookmarkStart w:id="147" w:name="_Toc94254065"/>
      <w:r>
        <w:rPr>
          <w:rFonts w:hint="eastAsia" w:ascii="楷体" w:hAnsi="楷体" w:eastAsia="楷体" w:cs="楷体"/>
          <w:b w:val="0"/>
          <w:bCs/>
          <w:color w:val="auto"/>
          <w:kern w:val="2"/>
          <w:sz w:val="32"/>
          <w:szCs w:val="32"/>
          <w:lang w:eastAsia="zh-CN" w:bidi="ar-SA"/>
        </w:rPr>
        <w:t>（一）加强监测评估制度建设</w:t>
      </w:r>
      <w:bookmarkEnd w:id="146"/>
      <w:bookmarkEnd w:id="147"/>
      <w:bookmarkStart w:id="148" w:name="_Toc94254066"/>
      <w:bookmarkStart w:id="149" w:name="_Toc107092460"/>
      <w:r>
        <w:rPr>
          <w:rFonts w:hint="eastAsia" w:ascii="楷体" w:hAnsi="楷体" w:eastAsia="楷体" w:cs="楷体"/>
          <w:b w:val="0"/>
          <w:bCs/>
          <w:color w:val="auto"/>
          <w:kern w:val="2"/>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102</w:t>
      </w:r>
    </w:p>
    <w:p>
      <w:pPr>
        <w:pStyle w:val="4"/>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eastAsia="zh-CN" w:bidi="ar-SA"/>
        </w:rPr>
        <w:t>（二）加强监测评估工作组织领导</w:t>
      </w:r>
      <w:bookmarkEnd w:id="148"/>
      <w:bookmarkEnd w:id="149"/>
      <w:bookmarkStart w:id="150" w:name="_Toc94254067"/>
      <w:bookmarkStart w:id="151" w:name="_Toc107092461"/>
      <w:r>
        <w:rPr>
          <w:rFonts w:hint="eastAsia" w:ascii="楷体" w:hAnsi="楷体" w:eastAsia="楷体" w:cs="楷体"/>
          <w:b w:val="0"/>
          <w:bCs/>
          <w:color w:val="auto"/>
          <w:kern w:val="2"/>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102</w:t>
      </w:r>
    </w:p>
    <w:p>
      <w:pPr>
        <w:pStyle w:val="4"/>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eastAsia="zh-CN" w:bidi="ar-SA"/>
        </w:rPr>
        <w:t>（三）加强儿童发展统计监测工作</w:t>
      </w:r>
      <w:bookmarkEnd w:id="150"/>
      <w:bookmarkEnd w:id="151"/>
      <w:bookmarkStart w:id="152" w:name="_Toc107092462"/>
      <w:bookmarkStart w:id="153" w:name="_Toc94254068"/>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103</w:t>
      </w:r>
    </w:p>
    <w:p>
      <w:pPr>
        <w:pStyle w:val="4"/>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eastAsia="zh-CN" w:bidi="ar-SA"/>
        </w:rPr>
        <w:t>（四）提升监测评估工作能力和水平</w:t>
      </w:r>
      <w:bookmarkEnd w:id="152"/>
      <w:bookmarkEnd w:id="153"/>
      <w:bookmarkStart w:id="154" w:name="_Toc107092463"/>
      <w:bookmarkStart w:id="155" w:name="_Toc94254069"/>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104</w:t>
      </w:r>
    </w:p>
    <w:p>
      <w:pPr>
        <w:pStyle w:val="4"/>
        <w:pageBreakBefore w:val="0"/>
        <w:widowControl w:val="0"/>
        <w:kinsoku/>
        <w:wordWrap/>
        <w:overflowPunct/>
        <w:topLinePunct w:val="0"/>
        <w:autoSpaceDE/>
        <w:autoSpaceDN/>
        <w:bidi w:val="0"/>
        <w:adjustRightInd/>
        <w:snapToGrid/>
        <w:spacing w:before="0" w:beforeLines="0" w:line="560" w:lineRule="exact"/>
        <w:ind w:left="0" w:firstLine="640" w:firstLineChars="200"/>
        <w:jc w:val="both"/>
        <w:textAlignment w:val="auto"/>
        <w:rPr>
          <w:rFonts w:hint="default"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eastAsia="zh-CN" w:bidi="ar-SA"/>
        </w:rPr>
        <w:t>（五）有效利用监测评估成果</w:t>
      </w:r>
      <w:bookmarkEnd w:id="154"/>
      <w:bookmarkEnd w:id="155"/>
      <w:r>
        <w:rPr>
          <w:rFonts w:hint="eastAsia" w:ascii="楷体" w:hAnsi="楷体" w:eastAsia="楷体" w:cs="楷体"/>
          <w:b w:val="0"/>
          <w:bCs/>
          <w:color w:val="auto"/>
          <w:kern w:val="2"/>
          <w:sz w:val="32"/>
          <w:szCs w:val="32"/>
          <w:lang w:val="en-US" w:eastAsia="zh-CN" w:bidi="ar-SA"/>
        </w:rPr>
        <w:t xml:space="preserve"> </w:t>
      </w:r>
      <w:r>
        <w:rPr>
          <w:rFonts w:ascii="FZSSJW--GB1-0" w:hAnsi="FZSSJW--GB1-0" w:eastAsia="FZSSJW--GB1-0" w:cs="FZSSJW--GB1-0"/>
          <w:color w:val="231F20"/>
          <w:kern w:val="0"/>
          <w:sz w:val="22"/>
          <w:szCs w:val="22"/>
          <w:lang w:val="en-US" w:eastAsia="zh-CN" w:bidi="ar"/>
        </w:rPr>
        <w:t>…………………………………………………</w:t>
      </w:r>
      <w:r>
        <w:rPr>
          <w:rFonts w:hint="eastAsia" w:ascii="仿宋_GB2312" w:hAnsi="仿宋_GB2312" w:eastAsia="仿宋_GB2312" w:cs="仿宋_GB2312"/>
          <w:b w:val="0"/>
          <w:color w:val="231F20"/>
          <w:kern w:val="0"/>
          <w:sz w:val="32"/>
          <w:szCs w:val="32"/>
          <w:lang w:val="en-US" w:eastAsia="zh-CN" w:bidi="ar"/>
        </w:rPr>
        <w:t>104</w:t>
      </w:r>
    </w:p>
    <w:p>
      <w:pPr>
        <w:pStyle w:val="2"/>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color w:val="auto"/>
          <w:sz w:val="32"/>
          <w:szCs w:val="32"/>
          <w:lang w:eastAsia="zh-CN" w:bidi="ar-SA"/>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color w:val="auto"/>
          <w:sz w:val="32"/>
          <w:szCs w:val="32"/>
          <w:lang w:eastAsia="zh-CN" w:bidi="ar-SA"/>
        </w:rPr>
      </w:pPr>
    </w:p>
    <w:p>
      <w:pPr>
        <w:pStyle w:val="2"/>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val="0"/>
          <w:color w:val="auto"/>
          <w:sz w:val="32"/>
          <w:szCs w:val="32"/>
          <w:lang w:eastAsia="zh-CN" w:bidi="ar-SA"/>
        </w:rPr>
      </w:pPr>
    </w:p>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val="0"/>
          <w:color w:val="auto"/>
          <w:sz w:val="32"/>
          <w:szCs w:val="32"/>
          <w:lang w:eastAsia="zh-CN" w:bidi="ar-SA"/>
        </w:rPr>
      </w:pPr>
    </w:p>
    <w:p>
      <w:pPr>
        <w:pStyle w:val="13"/>
        <w:spacing w:after="0" w:line="360" w:lineRule="auto"/>
        <w:ind w:left="0" w:leftChars="0" w:firstLine="880" w:firstLineChars="200"/>
        <w:jc w:val="both"/>
        <w:rPr>
          <w:rFonts w:hint="eastAsia" w:ascii="楷体" w:hAnsi="楷体" w:eastAsia="楷体" w:cs="楷体"/>
          <w:b w:val="0"/>
          <w:bCs w:val="0"/>
          <w:i w:val="0"/>
          <w:iCs w:val="0"/>
          <w:color w:val="auto"/>
          <w:sz w:val="36"/>
          <w:szCs w:val="36"/>
          <w:lang w:val="zh-TW" w:eastAsia="zh-TW" w:bidi="zh-TW"/>
        </w:rPr>
      </w:pPr>
      <w:r>
        <w:rPr>
          <w:rFonts w:hint="eastAsia" w:ascii="方正小标宋简体" w:hAnsi="方正小标宋简体" w:eastAsia="方正小标宋简体" w:cs="方正小标宋简体"/>
          <w:b w:val="0"/>
          <w:bCs w:val="0"/>
          <w:i w:val="0"/>
          <w:iCs w:val="0"/>
          <w:color w:val="auto"/>
          <w:sz w:val="44"/>
          <w:szCs w:val="44"/>
          <w:lang w:val="zh-TW" w:eastAsia="zh-CN" w:bidi="zh-TW"/>
        </w:rPr>
        <w:t>惠来县</w:t>
      </w:r>
      <w:r>
        <w:rPr>
          <w:rFonts w:hint="eastAsia" w:ascii="方正小标宋简体" w:hAnsi="方正小标宋简体" w:eastAsia="方正小标宋简体" w:cs="方正小标宋简体"/>
          <w:b w:val="0"/>
          <w:bCs w:val="0"/>
          <w:i w:val="0"/>
          <w:iCs w:val="0"/>
          <w:color w:val="auto"/>
          <w:sz w:val="44"/>
          <w:szCs w:val="44"/>
          <w:lang w:val="zh-TW" w:eastAsia="zh-TW" w:bidi="zh-TW"/>
        </w:rPr>
        <w:t>儿童发展规划</w:t>
      </w:r>
      <w:r>
        <w:rPr>
          <w:rFonts w:hint="eastAsia" w:ascii="方正小标宋简体" w:hAnsi="方正小标宋简体" w:eastAsia="方正小标宋简体" w:cs="方正小标宋简体"/>
          <w:b w:val="0"/>
          <w:bCs w:val="0"/>
          <w:i w:val="0"/>
          <w:iCs w:val="0"/>
          <w:color w:val="auto"/>
          <w:sz w:val="44"/>
          <w:szCs w:val="44"/>
          <w:lang w:val="zh-TW" w:eastAsia="zh-CN" w:bidi="zh-TW"/>
        </w:rPr>
        <w:t>（2021—2030</w:t>
      </w:r>
      <w:r>
        <w:rPr>
          <w:rFonts w:hint="eastAsia" w:ascii="方正小标宋简体" w:hAnsi="方正小标宋简体" w:eastAsia="方正小标宋简体" w:cs="方正小标宋简体"/>
          <w:b w:val="0"/>
          <w:bCs w:val="0"/>
          <w:i w:val="0"/>
          <w:iCs w:val="0"/>
          <w:color w:val="auto"/>
          <w:sz w:val="44"/>
          <w:szCs w:val="44"/>
          <w:lang w:val="zh-TW" w:eastAsia="zh-TW" w:bidi="zh-TW"/>
        </w:rPr>
        <w:t>年）</w:t>
      </w:r>
    </w:p>
    <w:p>
      <w:pPr>
        <w:pStyle w:val="13"/>
        <w:pageBreakBefore w:val="0"/>
        <w:widowControl w:val="0"/>
        <w:kinsoku/>
        <w:wordWrap/>
        <w:overflowPunct/>
        <w:topLinePunct w:val="0"/>
        <w:autoSpaceDE/>
        <w:autoSpaceDN/>
        <w:bidi w:val="0"/>
        <w:adjustRightInd/>
        <w:snapToGrid/>
        <w:spacing w:after="0" w:line="560" w:lineRule="exact"/>
        <w:ind w:firstLine="620"/>
        <w:jc w:val="both"/>
        <w:textAlignment w:val="auto"/>
        <w:rPr>
          <w:rFonts w:hint="default" w:ascii="Times New Roman" w:hAnsi="Times New Roman" w:eastAsia="宋体" w:cs="Times New Roman"/>
          <w:i w:val="0"/>
          <w:iCs w:val="0"/>
          <w:color w:val="auto"/>
          <w:sz w:val="30"/>
          <w:szCs w:val="30"/>
          <w:lang w:val="zh-TW" w:eastAsia="zh-TW" w:bidi="zh-TW"/>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为贯彻落实《揭阳市儿童发展规划（2021－2030年）》，进一步优化我县儿童发展环境，保障儿童合法权益，结合我县儿童发展实际情况，制定本规划。</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b w:val="0"/>
          <w:bCs w:val="0"/>
          <w:color w:val="auto"/>
          <w:sz w:val="32"/>
          <w:szCs w:val="24"/>
          <w:lang w:eastAsia="zh-CN" w:bidi="ar-SA"/>
        </w:rPr>
      </w:pPr>
      <w:r>
        <w:rPr>
          <w:rFonts w:hint="default" w:ascii="Times New Roman" w:hAnsi="Times New Roman" w:cs="Times New Roman"/>
          <w:b w:val="0"/>
          <w:bCs w:val="0"/>
          <w:color w:val="auto"/>
          <w:sz w:val="32"/>
          <w:szCs w:val="24"/>
          <w:lang w:eastAsia="zh-CN" w:bidi="ar-SA"/>
        </w:rPr>
        <w:t>一、总体要求</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楷体" w:hAnsi="楷体" w:eastAsia="楷体" w:cs="楷体"/>
          <w:b w:val="0"/>
          <w:bCs/>
          <w:color w:val="auto"/>
          <w:kern w:val="2"/>
          <w:sz w:val="32"/>
          <w:szCs w:val="24"/>
          <w:lang w:eastAsia="zh-CN" w:bidi="ar-SA"/>
        </w:rPr>
      </w:pPr>
      <w:r>
        <w:rPr>
          <w:rFonts w:hint="eastAsia" w:ascii="楷体" w:hAnsi="楷体" w:eastAsia="楷体" w:cs="楷体"/>
          <w:b w:val="0"/>
          <w:bCs/>
          <w:color w:val="auto"/>
          <w:kern w:val="2"/>
          <w:sz w:val="32"/>
          <w:szCs w:val="24"/>
          <w:lang w:eastAsia="zh-CN" w:bidi="ar-SA"/>
        </w:rPr>
        <w:t>（一）指导思想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（二）总体目标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贯彻落实保障儿童权利的法规政策体系，完善促进儿童发展的工作机制，缩小城乡、区域、群体之间的儿童发展差距明显。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展望2035年，与惠来基本实现社会主义现代化相适应，儿童优先原则全面贯彻，儿童全面发展取得更为明显的实质性进展，广大儿童成长为建设社会主义现代化强国、担当民族复兴大任的时代新人，为我县构建和谐社会，提供可持续的人力资源和强有力的智力储备。</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b w:val="0"/>
          <w:bCs w:val="0"/>
          <w:color w:val="auto"/>
          <w:sz w:val="32"/>
          <w:szCs w:val="24"/>
          <w:lang w:eastAsia="zh-CN" w:bidi="ar-SA"/>
        </w:rPr>
      </w:pPr>
      <w:r>
        <w:rPr>
          <w:rFonts w:hint="default" w:ascii="Times New Roman" w:hAnsi="Times New Roman" w:cs="Times New Roman"/>
          <w:b w:val="0"/>
          <w:bCs w:val="0"/>
          <w:color w:val="auto"/>
          <w:sz w:val="32"/>
          <w:szCs w:val="24"/>
          <w:lang w:eastAsia="zh-CN" w:bidi="ar-SA"/>
        </w:rPr>
        <w:t>二、发展领域、主要目标和策略措施</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（一）儿童与健康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1.覆盖城乡的儿童健康服务体系更加完善，儿童医疗保健服务能力明显增强，儿童健康水平不断提高。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2.普及儿童健康生活方式，提高儿童及其照护人健康素养水平。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3.新生儿、婴儿和5岁以下儿童死亡率分别降至2.0‰、 3.0‰和4.0‰以下，地区和城乡差距逐步缩小。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4.构建完善覆盖婚前、孕前、孕期、新生儿和儿童各阶段的出生缺陷防治体系，预防和控制出生缺陷。新生儿遗传代谢性疾病筛查率达到98%以上，新生儿听力筛查率达到95%以上。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5.儿童常见疾病、传染病和恶性肿瘤等严重危害儿童健康的疾病得到有效防治。五岁以下儿童乙型肝炎病毒表面抗原流行率控制在0.5%以下。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6.适龄儿童免疫规划疫苗报告接种率以镇（场）为单位保持在90%以上，逐步扩大、优化全市免疫规划疫苗种类。3 岁以下儿童系统管理率和7岁以下儿童健康管理率保持在90%以上，城乡、区域差距逐步缩小。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7.促进城乡儿童早期发展服务供给，普及儿童早期发展的知识、方法和技能。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8.5岁以下儿童贫血率和生长迟缓率分别控制在9%和5%以下。儿童超重、肥胖、营养不良上升趋势得到有效控制。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9.5岁儿童乳牙龋齿患病率控制在70%以下，逐步实施儿童六龄齿免费窝沟封闭项目，12岁儿童龋患率控制在25%以内。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10.儿童新发近视率明显下降，6岁儿童近视率控制在3.5%左右，小学生近视率降至38%以下，初中生近视率降至60%以下，高中阶段学生近视率降至70%以下。0-6岁儿童眼保健和视力检查覆盖率达到90%以上。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11.增强儿童体质，中小学生国家学生体质健康标准达标优良率达到 60%以上。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12.增强儿童心理健康服务能力，提升儿童心理健康水平。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13.适龄儿童普遍接受性教育，儿童性健康服务可及性明显提高。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并建立健全智能化管理服务体系。参与“儿童健康综合发展示范县（市、区）”创建活动。加大儿童健康知识宣传普及力度，特别是科学育儿、预防疾病、及时就医、合理用药、合理膳食、应急避险、心理健康等知识和技能宣传普及力度，构建全媒体健康知识传播机制。推进医疗机构规范设置孕妇学校和家长课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完善儿童健康服务体系。积极推动县、镇（场）二级儿童医疗保健服务网络的构建，以妇幼保健机构、儿童医院和综合医院儿科为重点，统筹规划和配置区域内儿童健康服务资源。在县建设1所政府举办、标准化的妇幼保健机构，实现每千名儿童至少拥有儿科执业（助理）医生1.12名、床位3.17张。加强县级公立医院儿科病房设置，儿科病床达到一定比例。建立完善以县妇幼保健机构为龙头，镇（场）卫生院、社区卫生服务中心为枢纽，村（社区）卫生室为基础的基层儿童保健服务网络。每所镇（场）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加强出生缺陷综合防治。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w:t>
      </w:r>
      <w:r>
        <w:rPr>
          <w:rFonts w:hint="eastAsia" w:cs="Times New Roman"/>
          <w:color w:val="auto"/>
          <w:kern w:val="2"/>
          <w:sz w:val="32"/>
          <w:lang w:val="en-US" w:eastAsia="zh-CN" w:bidi="ar-SA"/>
        </w:rPr>
        <w:t>自闭</w:t>
      </w:r>
      <w:r>
        <w:rPr>
          <w:rFonts w:hint="default" w:ascii="Times New Roman" w:hAnsi="Times New Roman" w:eastAsia="仿宋_GB2312" w:cs="Times New Roman"/>
          <w:color w:val="auto"/>
          <w:kern w:val="2"/>
          <w:sz w:val="32"/>
          <w:lang w:eastAsia="zh-CN" w:bidi="ar-SA"/>
        </w:rPr>
        <w:t>症早期筛查、罕见病胎儿产前筛查与诊断。</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5.加强儿童保健服务和管理。加强儿童保健门诊标准化、规范化建设,扎实开展 0-6 岁儿童健康管理工作，提升儿童保健服务的质量。推进以视力、听力、言语、肢体、智力、孤独症及多重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加强儿童免疫规划疫苗管理和预防接种。扩大免疫规划疫苗种类，维持较高水平的免疫规划疫苗接种率。加强对疫苗质量、冷链储运、免疫规划制度落实、预防接种活动的监督管理。完善预防接种异常反应补偿相关政策。开展适龄女生人乳头瘤病毒（HPV）疫苗免费接种，加强社会宣传，提高接种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改善儿童营养状况。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有效控制儿童近视。加强0—6岁儿童眼保健和视力检查工作，推动建立儿童视力电子档案。保障学校、幼儿园、托育机构室内采光、照明、课桌椅、黑板等达到规定标准，学校眼保健操普及率达到100%。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 xml:space="preserve">11.增强儿童身体素质。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12.加强儿童心理健康服务。构建儿童心理健康教育、咨询服务、评估治疗、危机干预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儿童医院、精神专科医院和妇幼保健机构儿童心理咨询及专科门诊建设。大力培养儿童心理健康服务人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13.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14.提高儿童遭受意外和暴力伤害的紧急救援、医疗救治、康复服务水平。广泛宣传儿童紧急救援知识，提升看护人、教师紧急救援技能。完善公共场所急救设施配备。建立健全县内紧急医学救援网络，加强儿童伤害院前急救设备设施配备，实现院前急救与院内急诊的有效衔接。加强康复机构能力建设，提高儿童医学救治以及康复服务的效率和水平。</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（二）儿童与安全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 xml:space="preserve">主要目标：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1.减少儿童伤害所致死亡和残疾。儿童伤害死亡率以2020年数据为基数下降20%。</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2.排查消除溺水隐患，儿童溺水死亡率持续下降。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3.推广使用儿童安全座椅、安全头盔，儿童出行安全得到有效保障。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4.减少儿童跌倒、跌落、烧烫伤和中毒等伤害的发生、致残和死亡。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5.儿童食品药品用品安全得到有效保障，儿童药品质量抽检合格率达到95%以上。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6.预防和干预儿童沉迷网络，有效治理不良信息、隐私泄露、网络暴力等问题。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7.预防和应对突发事件时充分考虑儿童的身心特点，优先保障儿童安全，满足儿童特殊需求。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8.儿童遭受意外和暴力伤害的监测报告系统进一步完善。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的安全行为习惯，提升儿童看护人有效看护能力。鼓励有条件的少年宫、儿童活动中心、儿童公园、学校建立儿童安全体验中心、安全体验教室。保障游戏游艺设备及大型游乐设施安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建立健全儿童伤害防控工作体系。加大儿童伤害防控领域的法规落实和执法力度。构建完善多部门合作的儿童伤害防控工作机制，鼓励社会力量参与儿童伤害防控。制定实施儿童伤害防控行动计划，探索创新并大力推广儿童伤害防控适宜技术。积极推动落实省、市、县三级的儿童伤害和暴力的监测体系和报告制度，通过医疗机构、学校、幼儿园、托育机构、社区、司法机关等多渠道收集儿童伤害数据，实现数据规范化管理和运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预防和控制儿童溺水。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建设儿童安全出行环境。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 提高儿童及其看护人针对地震、洪涝、台风、火灾、踩踏等灾害性、突发性事件的防灾避险技能。普及儿童用水用电用火用气等安全防护知识。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加强儿童食品、药品、用品安全监管。严格落实儿童食品安全标准体系。强化婴幼儿配方食品和婴幼儿辅助食品安全监管，加大抽检监测及不合格食品处罚力度。落实学校、幼儿园、托育机构食品安全管理主体责任，消除儿童集中用餐各环节食品安全隐患，加强校园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和公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行为。应用国家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（三）儿童与教育</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1.全面落实立德树人根本任务，培养德智体美劳全面发展的社会主义建设者和接班人。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2.适龄儿童普遍接受普惠而有质量的学前教育，学前教育毛入园率达到100%，普惠性幼儿园在园幼儿占比不低于85%。</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3.义务教育更加优质均衡发展，城乡一体化水平进一步提高，九年义务教育巩固率达到96%以上。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4.巩固提高高中阶段教育普及水平。高中阶段教育毛入学率稳定在95%以上。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5.孤儿、事实无人抚养儿童、残疾儿童、农业转移户口随迁子女、留守儿童、困境儿童等特殊群体受教育权利得到根本保障。残疾儿童义务教育巩固水平进一步提高。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6.儿童科学素质全面提升，科学兴趣、创新意识、实践能力不断提高。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7.以提高儿童综合素质为导向的教育评价体系更加完善。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8.加强校园文化建设，营造友善、平等、相互尊重的师生关系和同学关系。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9.学校家庭社会协同育人机制进一步完善。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培养儿童良好思想道德素质、法治意识和行为习惯。加强理想教育、道德教育、法治教育、劳动教育、生态文明教育，以及中华优秀传统文化教育和潮汕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 xml:space="preserve">4.全面推进教育理念、体系、制度、内容、方法创新。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和边远地区薄弱学校，加快发展适合不同学生的信息化自主学习方式，满足个性化发展需求。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推动学前教育普及普惠安全优质发展。继续实施学前教育行动计划，重点补齐人口集中流入地、农村地区、欠发达地区以及城市薄弱地区的普惠性资源短板，基本实现学前教育公共服务体系全覆盖。扩大普惠性学前教育资源供给，严格落实镇（场）中心幼儿园、村（社区）级幼儿园、住宅小区配套幼儿园等建设。鼓励国有企事业单位、社区、村集体举办公办幼儿园。健全普惠性学前教育成本分担机制，建立公办园收费标准动态调整机制，加强非营利性民办园收费监管。注重科学保教，建立健全幼儿园保教质量监测体系，全面提升保教质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推进城乡义务教育优质均衡发展。满足适龄学生入学需求。实施义务教育薄弱环节改善与能力提升工程。全面加强村（社区）小规模学校和镇（场）寄宿制学校建设，进一步改善农村学校办学条件，增加寄宿制学位供给，加强教师队伍建设，提升农村义务教育质量，推进义务教育优质均衡发展。健全精准控辍保学长效机制，全面消除义务教育学校大班额，提高义务教育巩固水平。保障女童平等接受义务教育。探索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推动高中阶段教育优质特色发展。加快普通高中育人方式改革，推进高中阶段学校多样化特色化发展。办好县域普通高中，增加普通高中学位供给，增加公办优质学位供给，支持县域普通高中振兴发展。推动人文、数理、科技、艺术、体育等特色示范高中建设，构建特色鲜明、丰富多样的普通高中教育发展格局。推进中等职业教育和普通高中教育协调发展，探索建设示范性优秀中职学校和优质专业，放宽中职招生地域限制。实施职业教育“扩容、提质、强服务”行动计划，大力发展特色技工教育。完善高中阶段学生资助政策。</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8.保障特殊儿童群体受教育权利。完善特殊教育保障机制，优化特殊教育学校布局，推进适龄残疾儿童义务教育全覆盖，提高特殊教育质量，推动特殊教育公平融合发展，</w:t>
      </w:r>
      <w:bookmarkStart w:id="156" w:name="_Hlk94103563"/>
      <w:r>
        <w:rPr>
          <w:rFonts w:hint="default" w:ascii="Times New Roman" w:hAnsi="Times New Roman" w:eastAsia="仿宋_GB2312" w:cs="Times New Roman"/>
          <w:color w:val="auto"/>
          <w:kern w:val="2"/>
          <w:sz w:val="32"/>
          <w:lang w:eastAsia="zh-CN" w:bidi="ar-SA"/>
        </w:rPr>
        <w:t>加快实施残疾儿童15年免费教育</w:t>
      </w:r>
      <w:bookmarkEnd w:id="156"/>
      <w:r>
        <w:rPr>
          <w:rFonts w:hint="default" w:ascii="Times New Roman" w:hAnsi="Times New Roman" w:eastAsia="仿宋_GB2312" w:cs="Times New Roman"/>
          <w:color w:val="auto"/>
          <w:kern w:val="2"/>
          <w:sz w:val="32"/>
          <w:lang w:eastAsia="zh-CN" w:bidi="ar-SA"/>
        </w:rPr>
        <w:t>。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提高儿童科学素质。实施未成年人科学素质提升行动。将弘扬科学精神贯穿教育全过程，全面推进校内儿童科技教育。完善科学教学质量和儿童科学素质监测评估。开展学前科学启蒙教育，提高学校科学教育质量。广泛开展各类青少年科技活动。进一步推动“惠来县科学教育特色学校”的创建和示范工作，推动中小学校强化科学特色教育。鼓励有条件的农村、中小学等利用现有场所，建设农村中学科技馆、村（社区）学校少年宫和青少年科学工作室等农村青少年科普活动阵地。</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建立健全科学的教育评价制度体系。树立科学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11.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12.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条件和学生寄宿条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市情、县情、社情、民情。充分发挥中小学校课后服务主渠道作用，完善中小学课后服务保障机制和措施。发挥共青团、少先队、妇联、科协、关工委等组织的育人作用，形成学校、家庭、社会协同育人合力。</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（四）儿童与福利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1.提升儿童福利水平，健全完善与经济社会发展水平相适应的适度普惠型儿童福利制度体系。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2.面向儿童的基本公共服务均等化水平明显提高，城乡、 区域和不同群体之间儿童的公共服务需求得到公平满足。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3.巩固提高基本医疗保障水平，保障儿童基本医疗权益。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4.构建连续完整的儿童营养改善项目支持体系。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5.加快普惠托育服务体系建设，托育机构和托位数量持续增加。每千常住人口拥有3岁以下婴幼儿托位数达到5.5个以上。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6.孤儿、事实无人抚养儿童、残疾儿童、流浪儿童生存、发展和安全权益得到有效保障。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7.留守儿童关爱服务体系不断完善，流动儿童服务机制更加健全。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8.推进未成年人救助保护中心建设，实现我县覆盖率达到100%；指导镇（场）设立未成年人保护工作站，覆盖率达到100%。</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9.城乡社区儿童之家覆盖率进一步提高，服务能力持续提升。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10.监测预防、强制报告、应急处置、评估帮扶、监护干预“五位一体”的基层儿童保护机制有效运行。县级以上人民政府开通并有效运行统一的儿童保护热线。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11.基层儿童福利工作阵地和队伍建设进一步加强。村（社区）委员会配备专人专岗的儿童主任。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 增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减免或专项补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向经济较落后的镇（场）、薄弱环节、特殊儿童群体倾斜。扩大公共服务覆盖面，全面落实儿童乘坐公共交通工具和浏览参观票价优惠政策。</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做好儿童医疗保障工作。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4.推进实施儿童营养改善项目。巩固欠发达地区儿童营养改善项目实施成果。稳妥推进农村义务教育学生营养改善计划，完善膳食费用分摊机制。大力推广国家学生饮用奶计划。加强 3—5岁学龄前儿童营养改善工作，实施学龄前儿童营养改善计划，构建从婴儿期到学龄期儿童连续完整的营养改善项目支持体系。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加快发展普惠托育服务体系。将婴幼儿照护服务纳入经济社会发展规划，强化政策引导，综合运用土地、住房、财政、金融、人才等支持政策，扩大托育服务供给。推动示范托育服务机构和社区托育服务设施的建设，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管理办法。加大专业人才培养培训力度，依法逐步实行从业人员职业资格准入制度。制定完善托育服务的标准规范，加强综合监管，推动托育服务规范健康发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加强孤儿和事实无人抚养儿童保障。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落实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落实残疾儿童康复救助制度。完善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加强儿童动态管理和分类保障。建立健全与市统一的县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建立健全基层儿童保护机制。完善县、镇（场）、村（社区）三级基层儿童保护机制。构建家庭保护、司法保护、社会保护的儿童保护体系。健全困境儿童的发现报告机制、风险评估机制、应急处置机制、评估帮扶机制和监护干预机制，落实困境儿童和受暴力伤害儿童的强制报告制度。县人民政府开通统一的儿童保护热线，及时受理、转介侵犯儿童合法权益的投诉、举报，探索完善接报、评估、处置、帮扶等一体化工作流程，明确相关部门工作职责和协作程序，形成“一门受理、协同办理”的工作机制。提升未成年人救助保护机构、儿童福利机构和基层儿童工作队伍服务能力。支持引导社会力量参与儿童保护和服务工作。</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（五）儿童与家庭</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1.发挥家庭立德树人第一所学校作用，培养儿童的好思想、好品行、好习惯。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2.尊重儿童主体地位，保障儿童平等参与自身和家庭事务的权利。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3.教育引导父母或其他监护人落实抚养、教育、保护责任，树立科学育儿理念，掌握运用科学育儿方法。强化亲职陪伴和教育，压实家庭监护主体责任。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4.培养儿童成为好家风的践行者和传承者。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5.增强亲子互动，建立平等和谐的亲子关系。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6.覆盖城乡的家庭教育指导服务体系基本建成，95%的城市社区和85%的农村社区（村）建立家长学校或家庭教育指导服务站点。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7.落实家庭生育养育教育的法规政策。</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8.提升家庭领域理论和实践研究水平，促进成果转化应用。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优秀传统文化，厚植爱党爱祖国爱社会主义情怀。增强法治意识和社会责任感，学会做人，学会做事，学会学习，扣好人生第一粒扣子。</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完善落实儿童监护制度。强化父母或其他监护人履行对未成年子女的抚养、教育和保护职责，依法规范父母或其他监护人委托他人照护未成年人子女的行为。督促落实监护责任，禁止早婚早育和早婚辍学行为。加强对监护的监督、指导和帮助，落实强制家庭教育制度。强化村（</w:t>
      </w:r>
      <w:r>
        <w:rPr>
          <w:rFonts w:hint="eastAsia" w:ascii="Times New Roman" w:hAnsi="Times New Roman" w:cs="Times New Roman"/>
          <w:color w:val="auto"/>
          <w:kern w:val="2"/>
          <w:sz w:val="32"/>
          <w:lang w:val="en-US" w:eastAsia="zh-CN" w:bidi="ar-SA"/>
        </w:rPr>
        <w:t>居</w:t>
      </w:r>
      <w:r>
        <w:rPr>
          <w:rFonts w:hint="default" w:ascii="Times New Roman" w:hAnsi="Times New Roman" w:eastAsia="仿宋_GB2312" w:cs="Times New Roman"/>
          <w:color w:val="auto"/>
          <w:kern w:val="2"/>
          <w:sz w:val="32"/>
          <w:lang w:eastAsia="zh-CN" w:bidi="ar-SA"/>
        </w:rPr>
        <w:t>）民委员会对父母或其他监护人监护和委托照护的监督责任，村（社区）</w:t>
      </w:r>
      <w:r>
        <w:rPr>
          <w:rFonts w:hint="eastAsia" w:cs="Times New Roman"/>
          <w:color w:val="auto"/>
          <w:kern w:val="2"/>
          <w:sz w:val="32"/>
          <w:lang w:val="en-US" w:eastAsia="zh-CN" w:bidi="ar-SA"/>
        </w:rPr>
        <w:t>儿童</w:t>
      </w:r>
      <w:r>
        <w:rPr>
          <w:rFonts w:hint="default" w:ascii="Times New Roman" w:hAnsi="Times New Roman" w:eastAsia="仿宋_GB2312" w:cs="Times New Roman"/>
          <w:color w:val="auto"/>
          <w:kern w:val="2"/>
          <w:sz w:val="32"/>
          <w:lang w:eastAsia="zh-CN" w:bidi="ar-SA"/>
        </w:rPr>
        <w:t>主任切实做好儿童面临监护风险或受到监护侵害情况的发现、核实、报告工作。探索建立监护风险及异常状况评估制度。依法纠正和处理监护人侵害儿童权益事件。符合法定情形的儿童报</w:t>
      </w:r>
      <w:r>
        <w:rPr>
          <w:rFonts w:hint="eastAsia" w:cs="Times New Roman"/>
          <w:color w:val="auto"/>
          <w:kern w:val="2"/>
          <w:sz w:val="32"/>
          <w:lang w:val="en-US" w:eastAsia="zh-CN" w:bidi="ar-SA"/>
        </w:rPr>
        <w:t>县级以上</w:t>
      </w:r>
      <w:r>
        <w:rPr>
          <w:rFonts w:hint="default" w:ascii="Times New Roman" w:hAnsi="Times New Roman" w:eastAsia="仿宋_GB2312" w:cs="Times New Roman"/>
          <w:color w:val="auto"/>
          <w:kern w:val="2"/>
          <w:sz w:val="32"/>
          <w:lang w:eastAsia="zh-CN" w:bidi="ar-SA"/>
        </w:rPr>
        <w:t>民政部门进行监护。确保突发事件情况下无人照料儿童及时获得临时监护。禁止对儿童殴打、虐待等一切形式的家庭暴力。</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 xml:space="preserve">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构建覆盖城乡的家庭教育指导服务体系。加强家庭教育指导服务中心建设，统筹指导服务工作，县、镇（场）二级建立家庭教育指导服务机构，提供普惠性家庭教育公共服务，依托家长学校、城乡社区公共服务设施、妇女之家、儿童之家等设立家庭教育服务站点，提升中小学、幼儿园家长学校规范化建设水平，</w:t>
      </w:r>
      <w:bookmarkStart w:id="157" w:name="_Hlk94048113"/>
      <w:r>
        <w:rPr>
          <w:rFonts w:hint="default" w:ascii="Times New Roman" w:hAnsi="Times New Roman" w:eastAsia="仿宋_GB2312" w:cs="Times New Roman"/>
          <w:color w:val="auto"/>
          <w:kern w:val="2"/>
          <w:sz w:val="32"/>
          <w:lang w:eastAsia="zh-CN" w:bidi="ar-SA"/>
        </w:rPr>
        <w:t>参与家庭教育信息化共享平台</w:t>
      </w:r>
      <w:bookmarkEnd w:id="157"/>
      <w:r>
        <w:rPr>
          <w:rFonts w:hint="default" w:ascii="Times New Roman" w:hAnsi="Times New Roman" w:eastAsia="仿宋_GB2312" w:cs="Times New Roman"/>
          <w:color w:val="auto"/>
          <w:kern w:val="2"/>
          <w:sz w:val="32"/>
          <w:lang w:eastAsia="zh-CN" w:bidi="ar-SA"/>
        </w:rPr>
        <w:t>建设，开设网上家长学校和家庭教育指导课程。中小学、幼儿园将家庭教育指导服务纳入学校工作计划和教师业务培训。（村）社区支持协助家庭教育指导服务站点开展家庭教育指导服务。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强化对家庭教育指导服务的支持保障。贯彻落实家庭教育促进法，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机构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落实支持家庭生育养育教育的法规政策。推进家庭教育地方法律法规实施。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提供托育托管服务，实施弹性工时、居家办公等灵活的家庭友好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加强家庭领域理论和实践研究。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（六）儿童与环境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1.将儿童优先理念落实到公共政策制定、公共设施建设、公共服务供给各方面，尊重、爱护儿童的社会环境进一步形成。</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2.儿童参与家庭、学校和社会事务的权利得到充分保障。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3.全面推进儿童友好城市建设，建设3个儿童友好示范镇（场），建设5个儿童友好基地。</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4.加快儿童校外活动场所建设和管理力度。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5.提供更多有益于儿童全面发展的高质量精神文化产品。创造儿童阅读有利条件，培养儿童良好阅读习惯。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6.加强儿童科普资源开发、共享，扩大服务覆盖范围，</w:t>
      </w:r>
      <w:bookmarkStart w:id="158" w:name="_Hlk94048852"/>
      <w:r>
        <w:rPr>
          <w:rFonts w:hint="default" w:ascii="Times New Roman" w:hAnsi="Times New Roman" w:eastAsia="仿宋_GB2312" w:cs="Times New Roman"/>
          <w:color w:val="auto"/>
          <w:kern w:val="2"/>
          <w:sz w:val="32"/>
          <w:lang w:eastAsia="zh-CN" w:bidi="ar-SA"/>
        </w:rPr>
        <w:t>在全县创建3个青少年科技教育基地，70%以上的镇（场）、社区建有少儿科普活动场所</w:t>
      </w:r>
      <w:bookmarkEnd w:id="158"/>
      <w:r>
        <w:rPr>
          <w:rFonts w:hint="default" w:ascii="Times New Roman" w:hAnsi="Times New Roman" w:eastAsia="仿宋_GB2312" w:cs="Times New Roman"/>
          <w:color w:val="auto"/>
          <w:kern w:val="2"/>
          <w:sz w:val="32"/>
          <w:lang w:eastAsia="zh-CN" w:bidi="ar-SA"/>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7.加强儿童友好公园建设，推动建设地方儿童主题公园。各类公园设置一定规模的儿童游戏场地。</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8.加强儿童友好社区建设，设置儿童游戏场地，完善社区儿童公共空间，促进社区儿童社会化交往。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9.保护儿童免受各类传媒不良信息影响。提升儿童媒介素养。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10.减少环境污染对儿童的伤害。农村自来水普及率巩固在99%以上，全面普及农村卫生厕所。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11.提高儿童生态环境保护意识，帮助养成绿色低碳生活习惯。</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全面贯彻儿童优先原则，营造尊重、保护儿童的社会环境。建立和完善促进儿童优先发展的制度体系，提高政府部门和社会公众对儿童权利的认识，增强保障儿童权利的自觉性。在出台政策法规、制定规划、配置资源、部署工作时优先考虑儿童利益和需求。鼓励企事业单位、各类公共服务机构和社会组织参与儿童发展和权利保护服务。在城乡建设规划和城市更新中提供更多适合儿童的公共设施和活动场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保障儿童参与和表达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全面推进儿童友好城市建设。将儿童友好城市建设纳入地方经济社会发展规划，纳入国土空间规划，出台相关儿童活动场所的指导性意见。全面推进社会政策友好、公共服务友好、权利保障友好、成长空间友好、发展环境友好的中国特色儿童友好县、镇（场）建设。建立多部门合作工作机制，制定相应的标准体系和建设指南，建设儿童友好医院、学校、公园、图书馆、科技馆。充分利用各类社会资源，建设具有科学性、艺术性、趣味性、开放性和公益性的儿童活动场所，引导儿童参与社会实践，提高儿童的科学、人文、艺术等综合素养和认知、探究、实践等综合能力。鼓励国家机关、企业事业单位、部队等开发自身教育资源，设立儿童开放日，为儿童主题教育、社会实践、职业体验等提供支持。积极参与儿童友好城市建设交流活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创造有益于儿童身心健康的文化环境。制作和传播体现社会主义核心价值观、适合儿童的图书、影视、歌曲、游戏、广播电视节目等精神文化产品，培育儿童文化品牌。支持儿童参与优秀民族传统文化、岭南文化、潮汕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规范与儿童相关的广告和商业性活动。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提高儿童科普的覆盖面和效能。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和科普教育基地建设。推动少年宫、妇女儿童活动中心、各类培训基地、文化场所等增加科普教育功能。鼓励社会力量参与科普工作，支持和引导企事业单位、社会组织和个人开展科普活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拓展儿童友好活动空间。加强城市公共空间适儿化改造，建立儿童友好空间配置标准，出台儿童活动场所的指导性规范意见，在公园、绿地等公共空间和社区配备足量、优质、独立、便利的儿童活动场地。研究将社区儿童室内外活动场地的配建规划、建设指引等内容纳入城市更新和棚户区改造政策，并研究相应配套奖励政策措施，调动市场改造积极性。优化配置社区儿童活动场所，健全社区儿童健身设备、游乐设施、室内儿童游乐场所及游乐设施安全标准与检查制度，确保设施安全。加大对农村地区、城市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优化儿童健康成长的自然环境和人居环境。完善生态文明领域统筹协调机制，加快建设美丽惠来。控制和治理大气、水、土壤等环境污染以及工业、生活和农村面源污染，加强水源保护和水质监测。加强铅等重金属污染防治和监测。推进城市饮用水水源地规范化建设。实施农村供水保障工程，提高农村集中供水率、 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促进儿童发展交流与合作。认真履行联合国《儿童权利公约》等国际公约和文件，落实与儿童发展相关的可持续发展目标。积极参与涉及儿童发展事业的省内外交流，吸收借鉴国内先进地区有益经验，积极宣介促进儿童发展的“揭阳故事”“惠来故事”，扩大潮汕文化、滨海文化的影响力和辐射力。</w:t>
      </w:r>
      <w:bookmarkStart w:id="159" w:name="_Hlk94049915"/>
      <w:r>
        <w:rPr>
          <w:rFonts w:hint="default" w:ascii="Times New Roman" w:hAnsi="Times New Roman" w:eastAsia="仿宋_GB2312" w:cs="Times New Roman"/>
          <w:color w:val="auto"/>
          <w:kern w:val="2"/>
          <w:sz w:val="32"/>
          <w:lang w:eastAsia="zh-CN" w:bidi="ar-SA"/>
        </w:rPr>
        <w:t>深化我县和</w:t>
      </w:r>
      <w:r>
        <w:rPr>
          <w:rFonts w:hint="eastAsia" w:ascii="Times New Roman" w:hAnsi="Times New Roman" w:cs="Times New Roman"/>
          <w:color w:val="auto"/>
          <w:kern w:val="2"/>
          <w:sz w:val="32"/>
          <w:lang w:val="en-US" w:eastAsia="zh-CN" w:bidi="ar-SA"/>
        </w:rPr>
        <w:t>其他</w:t>
      </w:r>
      <w:r>
        <w:rPr>
          <w:rFonts w:hint="default" w:ascii="Times New Roman" w:hAnsi="Times New Roman" w:eastAsia="仿宋_GB2312" w:cs="Times New Roman"/>
          <w:color w:val="auto"/>
          <w:kern w:val="2"/>
          <w:sz w:val="32"/>
          <w:lang w:eastAsia="zh-CN" w:bidi="ar-SA"/>
        </w:rPr>
        <w:t>县（</w:t>
      </w:r>
      <w:r>
        <w:rPr>
          <w:rFonts w:hint="eastAsia" w:ascii="Times New Roman" w:hAnsi="Times New Roman" w:cs="Times New Roman"/>
          <w:color w:val="auto"/>
          <w:kern w:val="2"/>
          <w:sz w:val="32"/>
          <w:lang w:val="en-US" w:eastAsia="zh-CN" w:bidi="ar-SA"/>
        </w:rPr>
        <w:t>市、</w:t>
      </w:r>
      <w:r>
        <w:rPr>
          <w:rFonts w:hint="default" w:ascii="Times New Roman" w:hAnsi="Times New Roman" w:eastAsia="仿宋_GB2312" w:cs="Times New Roman"/>
          <w:color w:val="auto"/>
          <w:kern w:val="2"/>
          <w:sz w:val="32"/>
          <w:lang w:eastAsia="zh-CN" w:bidi="ar-SA"/>
        </w:rPr>
        <w:t>区）儿童发展合作与交流</w:t>
      </w:r>
      <w:bookmarkEnd w:id="159"/>
      <w:r>
        <w:rPr>
          <w:rFonts w:hint="default" w:ascii="Times New Roman" w:hAnsi="Times New Roman" w:eastAsia="仿宋_GB2312" w:cs="Times New Roman"/>
          <w:color w:val="auto"/>
          <w:kern w:val="2"/>
          <w:sz w:val="32"/>
          <w:lang w:eastAsia="zh-CN" w:bidi="ar-SA"/>
        </w:rPr>
        <w:t>。</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黑体" w:hAnsi="黑体" w:eastAsia="黑体" w:cs="黑体"/>
          <w:b w:val="0"/>
          <w:bCs/>
          <w:color w:val="auto"/>
          <w:kern w:val="2"/>
          <w:sz w:val="32"/>
          <w:szCs w:val="24"/>
          <w:lang w:eastAsia="zh-CN" w:bidi="ar-SA"/>
        </w:rPr>
      </w:pPr>
      <w:r>
        <w:rPr>
          <w:rFonts w:hint="eastAsia" w:ascii="黑体" w:hAnsi="黑体" w:eastAsia="黑体" w:cs="黑体"/>
          <w:b w:val="0"/>
          <w:bCs/>
          <w:color w:val="auto"/>
          <w:kern w:val="2"/>
          <w:sz w:val="32"/>
          <w:szCs w:val="24"/>
          <w:lang w:eastAsia="zh-CN" w:bidi="ar-SA"/>
        </w:rPr>
        <w:t>（七）儿童与法律保护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主要目标：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w:t>
      </w:r>
      <w:bookmarkStart w:id="160" w:name="_Hlk94050069"/>
      <w:r>
        <w:rPr>
          <w:rFonts w:hint="default" w:ascii="Times New Roman" w:hAnsi="Times New Roman" w:eastAsia="仿宋_GB2312" w:cs="Times New Roman"/>
          <w:color w:val="auto"/>
          <w:kern w:val="2"/>
          <w:sz w:val="32"/>
          <w:lang w:eastAsia="zh-CN" w:bidi="ar-SA"/>
        </w:rPr>
        <w:t>贯彻落实儿童保护法规政策体系</w:t>
      </w:r>
      <w:bookmarkEnd w:id="160"/>
      <w:r>
        <w:rPr>
          <w:rFonts w:hint="default" w:ascii="Times New Roman" w:hAnsi="Times New Roman" w:eastAsia="仿宋_GB2312" w:cs="Times New Roman"/>
          <w:color w:val="auto"/>
          <w:kern w:val="2"/>
          <w:sz w:val="32"/>
          <w:lang w:eastAsia="zh-CN" w:bidi="ar-SA"/>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2.加强保障儿童权益执法工作。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3.完善司法保护制度，司法工作体系满足儿童身心发展特殊需要。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4.儿童法治素养和自我保护意识进一步提升，社会公众保护儿童的意识和能力进一步提高。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5.依法保障儿童的民事权益。</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6.落实儿童监护制度，保障儿童获得有效监护。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7.禁止使用童工，禁止对儿童的经济剥削，严格监管安排儿童参与商业活动的行为。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8.依法严惩猥亵、性侵害、家庭暴力，拐卖、遗弃等侵害儿童人身权利的违法犯罪行为。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9.依法严惩利用网络侵犯儿童合法权益的违法犯罪行为。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10.预防未成年人违法犯罪，对未成年人违法犯罪实行分级干预。降低未成年人犯罪人数占未成年人人口数量的比重。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策略措施：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落实保障儿童权益的法规政策。贯彻落实保障儿童生存权、发展权、受保护权、参与权的法规政策体系。积极参与家庭教育、学前教育、儿童福利、网络保护等立法进程。加强未成年人保护法实施，落实法律监督、司法建议和法治督查制度。加强保障儿童权益的法学理论与实践研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2.严格保障儿童权益执法。全面落实保障儿童权益主体责任。加大行政执法力度，及时发现和处置猥亵儿童、监护侵害、家庭暴力、校园及周边安全隐患、食品药品安全隐患等问题。探索建立保障儿童权益多部门综合执法制度, 探索建立儿童救助协作制度，强化部门间信息沟通和工作衔接，形成执法、保护、服务合力。</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3.健全未成年人司法工作体系。公安机关、人民检察院、人民法院和司法行政部门应当确定专门机构或者指定专门人员负责办理涉及未成年人 案件。完善未成年人司法保护工作评价考核标准。加强专业化办案与社会化保护配合衔接，加强司法机关与政府部门、人民团体、社会组织、社会工作者等的合作，共同做好未成年人心理干预、社会观护、教育矫治、社区矫正等工作。建立未成年人案件司法统计指标体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4.加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6.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猥亵、性侵害、反家暴、防止校园欺凌等教育纳入学校法治课程。提高社会公众的法治意识，推动形成依法保障儿童权益的良好氛围。强化媒体对未成年人保护的社会责任, 推动在黄金时段免费播放儿童普法公益宣传片，引导媒体客观、审慎、适度采访和报道涉未成年人案件。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7.全面保障儿童的民事权益。依法保障儿童的人身权利、财产权利和其他合法权益。开展涉及儿童权益纠纷调解工作, 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8.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9.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10.预防和依法严惩猥亵、性侵害儿童违法犯罪行为。加强儿童预防猥亵、性侵害教育，提高儿童、家庭、学校、社区识别防范猥亵、性侵害和发现报告的意识和能力，落实强制报告制度。完善校园性侵害防控机制。建立多部门防猥亵、防性侵的联防联动机制，将保护儿童人身权益纳入综治网格化管理，及时、依法处置猥亵、性侵儿童犯罪，有力救助困境儿童。建立统一的性侵害、虐待、拐卖、暴力伤害等违法犯罪人员信息查询系统, 完善落实入职查询、从业禁止制度。探索建立性侵害儿童犯罪人员信息公开制度，严格落实外籍教师无犯罪证明备案制度。加强立案和立案监督，严格落实立案标准和定罪量刑标准。依法严惩对儿童负有特殊职责人员实施的性侵害行为，依法严惩组织、强迫、引诱、容留、介绍未成年人卖淫犯罪。建立健全性侵害未成年人刑事案件“一站式”取证机制、救助机制。探索制定性侵害儿童案件特殊证据标准，对遭受性侵害或者暴力伤害的未成年被害人及其家庭实施必要的心理干预、经济救助、法律援助、转学安置等保护措施。完善未成年被害人精神损害赔偿制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11.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被解救儿童。禁止除公安机关以外的任何组织或者个人收集被拐卖儿童、父母和疑似被拐卖人员DNA 数据等信息。落实儿童失踪快速查找甄别机制。实施青少年毒品预防教育工程，开展对引诱、教唆、欺骗、强迫、容留儿童吸贩毒犯罪专项打击行动。依法严惩胁迫、引诱、教唆儿童参与黑社会性质组织从事违法犯罪活动的行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 xml:space="preserve">12.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13.有效预防未成年人违法犯罪。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 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b w:val="0"/>
          <w:bCs w:val="0"/>
          <w:color w:val="auto"/>
          <w:sz w:val="32"/>
          <w:szCs w:val="24"/>
          <w:lang w:eastAsia="zh-CN" w:bidi="ar-SA"/>
        </w:rPr>
      </w:pPr>
      <w:r>
        <w:rPr>
          <w:rFonts w:hint="default" w:ascii="Times New Roman" w:hAnsi="Times New Roman" w:cs="Times New Roman"/>
          <w:b w:val="0"/>
          <w:bCs w:val="0"/>
          <w:color w:val="auto"/>
          <w:sz w:val="32"/>
          <w:szCs w:val="24"/>
          <w:lang w:eastAsia="zh-CN" w:bidi="ar-SA"/>
        </w:rPr>
        <w:t>三、重点工程</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楷体" w:hAnsi="楷体" w:eastAsia="楷体" w:cs="楷体"/>
          <w:b w:val="0"/>
          <w:bCs/>
          <w:color w:val="auto"/>
          <w:kern w:val="2"/>
          <w:sz w:val="32"/>
          <w:szCs w:val="24"/>
          <w:lang w:eastAsia="zh-CN" w:bidi="ar-SA"/>
        </w:rPr>
      </w:pPr>
      <w:r>
        <w:rPr>
          <w:rFonts w:hint="eastAsia" w:ascii="楷体" w:hAnsi="楷体" w:eastAsia="楷体" w:cs="楷体"/>
          <w:b w:val="0"/>
          <w:bCs/>
          <w:color w:val="auto"/>
          <w:kern w:val="2"/>
          <w:sz w:val="32"/>
          <w:szCs w:val="24"/>
          <w:lang w:eastAsia="zh-CN" w:bidi="ar-SA"/>
        </w:rPr>
        <w:t>（一）儿童友好城市建设工程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全面推进社会政策友好、公共服务友好、权利保障友好、成长空间友好、发展环境友好的中国特色儿童友好镇（场）建设。建立多部门合作工作机制，制定相应的标准体系和建设指南。建设3个儿童友好示范镇（场），5个儿童友好基地，探索建设儿童友好医院、学校、公园、图书馆、科技馆。鼓励国家机关、企事业单位、部队等开发自身教育资源，设立儿童开放日，为儿童主题教育、社会实践、职业体验等提供支持。</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（二）普惠托育服务专项工程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（三）出生缺陷综合防治工程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建立多部门联动防治出生缺陷工作机制，落实出生缺陷三级防治措施。实施婚前孕前优生健康检查、产前筛查、 新生儿疾病筛查等出生缺陷防控项目。构建完善覆盖婚前、孕前、孕期、新生儿和儿童各阶段的出生缺陷防治体系。减少重型地中海贫血、唐氏综合征、神经管缺陷等严重出生缺陷儿出生。新生儿访视率保持在90%以上，新生儿遗传代谢性疾病筛查率达到98%以上，新生儿听力筛查率达到95%以上。</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（四）儿童护眼爱牙工程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推进儿童近视综合防控，实施视力干预行动。全市儿童总体近视率每年降低0.5个百分点以上。6岁儿童近视率控制在3.5%左右，小学生近视率降至38%以下，初中生近视率降至60%以下，高中阶段学生近视率降至70%以下，0-6岁儿童眼保健和视力检查覆盖率达到90%以上。建立儿童龋齿监测制度。普及儿童护齿常识，逐步实施儿童六龄齿免费窝沟封闭项目，积极推进儿童牙齿涂氟项目。5岁儿童乳牙龋病患率控制在70%以下，12岁儿童龋患率控制在25%以内。</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（五）儿童安全教育工程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 年为基数下降20%，儿童溺水死亡率持续下降。加强对儿童的安全、法制等方面的宣传教育，提高儿童早期的教育水平和安全防范意识，通过讲座、主题活动等多种形式，提高儿童安全防护水平和权益保障水平。加强儿童的自我保护教育，将防猥亵、防性侵纳入安全教育内容，在校园、乡村、社区进行相关主题的宣传教育，有效预防猥亵、性侵儿童行为发生，营造儿童安全成长的环境。重点关注女童及农村留守儿童的人身权益，依托“妇女之家”等阵地推动解决女童最关心、最直接、最现实等方面问题。</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（六）净网护苗工程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应用国家统一的未成年人网络游戏电子身份认证系统，严格执行游戏产品分类、内容审核、时长限制等措施，建立游戏开发商黑名单制度。加强儿童个人信息和隐私权的保护。</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（七）儿童综合素质提升工程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积极推动潮汕岁时节俗的宣传活动，让儿童从小受到“尊老爱幼”“互敬互爱”等传统美德的熏陶，并将其内化为自己的品德。大力挖掘潮汕本土优秀文化资源，鼓励幼儿园、学校、校外教育机构开设潮剧学习、潮汕歌谣诵读、剪纸艺术、</w:t>
      </w:r>
      <w:r>
        <w:rPr>
          <w:rFonts w:hint="eastAsia" w:cs="Times New Roman"/>
          <w:color w:val="auto"/>
          <w:kern w:val="2"/>
          <w:sz w:val="32"/>
          <w:lang w:val="en-US" w:eastAsia="zh-CN" w:bidi="ar-SA"/>
        </w:rPr>
        <w:t>工</w:t>
      </w:r>
      <w:r>
        <w:rPr>
          <w:rFonts w:hint="default" w:ascii="Times New Roman" w:hAnsi="Times New Roman" w:eastAsia="仿宋_GB2312" w:cs="Times New Roman"/>
          <w:color w:val="auto"/>
          <w:kern w:val="2"/>
          <w:sz w:val="32"/>
          <w:lang w:eastAsia="zh-CN" w:bidi="ar-SA"/>
        </w:rPr>
        <w:t>夫茶文化等特色课程，在儿童中推广潮汕优秀传统文化教育，培育和增强儿童的爱家乡情怀。</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（八）家庭教育指导服务工程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推进实施家庭教育工作专项规划，将家庭教育指导服务纳入城乡公共服务体系和政府购买服务目录。建立基本覆盖城乡的家庭教育指导服务体系。县、镇（场）</w:t>
      </w:r>
      <w:r>
        <w:rPr>
          <w:rFonts w:hint="eastAsia" w:ascii="Times New Roman" w:hAnsi="Times New Roman" w:cs="Times New Roman"/>
          <w:color w:val="auto"/>
          <w:kern w:val="2"/>
          <w:sz w:val="32"/>
          <w:lang w:val="en-US" w:eastAsia="zh-CN" w:bidi="ar-SA"/>
        </w:rPr>
        <w:t>二</w:t>
      </w:r>
      <w:r>
        <w:rPr>
          <w:rFonts w:hint="default" w:ascii="Times New Roman" w:hAnsi="Times New Roman" w:eastAsia="仿宋_GB2312" w:cs="Times New Roman"/>
          <w:color w:val="auto"/>
          <w:kern w:val="2"/>
          <w:sz w:val="32"/>
          <w:lang w:eastAsia="zh-CN" w:bidi="ar-SA"/>
        </w:rPr>
        <w:t>级建立家庭教育指导服务机构。中小学（含中职）、幼儿园和（村）社区普遍建立家长学校。加强对家庭教育服务机构和从业人员的管理，规范家庭教育指导服务市场。鼓励高等学校开设家庭教育专业和课程，鼓励和支持国家机关、企事业单位、社会组织及公民个人依法开展家庭教育指导服务活动。</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b w:val="0"/>
          <w:bCs w:val="0"/>
          <w:color w:val="auto"/>
          <w:sz w:val="32"/>
          <w:szCs w:val="24"/>
          <w:lang w:eastAsia="zh-CN" w:bidi="ar-SA"/>
        </w:rPr>
      </w:pPr>
      <w:r>
        <w:rPr>
          <w:rFonts w:hint="default" w:ascii="Times New Roman" w:hAnsi="Times New Roman" w:cs="Times New Roman"/>
          <w:b w:val="0"/>
          <w:bCs w:val="0"/>
          <w:color w:val="auto"/>
          <w:sz w:val="32"/>
          <w:szCs w:val="24"/>
          <w:lang w:eastAsia="zh-CN" w:bidi="ar-SA"/>
        </w:rPr>
        <w:t>四、组织实施</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0"/>
          <w:szCs w:val="30"/>
          <w:lang w:eastAsia="zh-CN" w:bidi="ar-SA"/>
        </w:rPr>
      </w:pPr>
      <w:r>
        <w:rPr>
          <w:rFonts w:hint="default" w:ascii="楷体" w:hAnsi="楷体" w:eastAsia="楷体" w:cs="楷体"/>
          <w:b w:val="0"/>
          <w:bCs/>
          <w:color w:val="auto"/>
          <w:kern w:val="2"/>
          <w:sz w:val="30"/>
          <w:szCs w:val="30"/>
          <w:lang w:eastAsia="zh-CN" w:bidi="ar-SA"/>
        </w:rPr>
        <w:t>（一）坚持党的全面领导</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坚持以习近平新时代中国特色社会主义思想为指导，坚持以人民为中心的发展思想，坚持走中国特色社会主义儿童发展道路，把党的领导贯穿于规划组织实施全过程。坚决贯彻党中央、国务院关于儿童事业发展的决策部署，在统筹推进“五位一体”总体布局、协调推进“四个全面”战略布局中推进规划实施；认真落实各级党委、人民政府有关工作要求，确保各项任务落到实处。</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楷体" w:hAnsi="楷体" w:eastAsia="楷体" w:cs="楷体"/>
          <w:b w:val="0"/>
          <w:bCs/>
          <w:color w:val="auto"/>
          <w:kern w:val="2"/>
          <w:sz w:val="32"/>
          <w:szCs w:val="24"/>
          <w:lang w:eastAsia="zh-CN" w:bidi="ar-SA"/>
        </w:rPr>
      </w:pPr>
      <w:r>
        <w:rPr>
          <w:rFonts w:hint="eastAsia" w:ascii="楷体" w:hAnsi="楷体" w:eastAsia="楷体" w:cs="楷体"/>
          <w:b w:val="0"/>
          <w:bCs/>
          <w:color w:val="auto"/>
          <w:kern w:val="2"/>
          <w:sz w:val="32"/>
          <w:szCs w:val="24"/>
          <w:lang w:eastAsia="zh-CN" w:bidi="ar-SA"/>
        </w:rPr>
        <w:t>（二）落实规划实施责任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完善落实党委领导、政府主责、妇女儿童工作委员会（以下简称妇儿工委）协调、多部门合作、全社会参与的规划实施工作机制。县人民政府负责规划实施工作，县妇儿工委负责组织、协调、指导、督促工作，县妇儿工委办公室负责具体工作。有关部门、相关机构和人民团体结合职责, 承担规划目标任务落实工作。在制定政策、编制规划、部署工作时优先考虑儿童利益和需求，切实保障儿童权益，促进儿童全面发展。</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（三）加强规划与惠来经济社会发展规划的衔接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实施、同步落实。</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（四）制定地方儿童发展规划和部门实施方案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县人民政府依据《中国儿童发展纲要》和上级儿童发展规划，结合实际制定县儿童发展规划。</w:t>
      </w:r>
      <w:r>
        <w:rPr>
          <w:rFonts w:hint="eastAsia" w:cs="Times New Roman"/>
          <w:color w:val="auto"/>
          <w:kern w:val="2"/>
          <w:sz w:val="32"/>
          <w:lang w:val="en-US" w:eastAsia="zh-CN" w:bidi="ar-SA"/>
        </w:rPr>
        <w:t>规划颁布后1个月内报送市妇儿工委办公室。</w:t>
      </w:r>
      <w:r>
        <w:rPr>
          <w:rFonts w:hint="eastAsia" w:ascii="Times New Roman" w:hAnsi="Times New Roman" w:cs="Times New Roman"/>
          <w:color w:val="auto"/>
          <w:kern w:val="2"/>
          <w:sz w:val="32"/>
          <w:lang w:val="en-US" w:eastAsia="zh-CN" w:bidi="ar-SA"/>
        </w:rPr>
        <w:t>各地、</w:t>
      </w:r>
      <w:r>
        <w:rPr>
          <w:rFonts w:hint="default" w:ascii="Times New Roman" w:hAnsi="Times New Roman" w:eastAsia="仿宋_GB2312" w:cs="Times New Roman"/>
          <w:color w:val="auto"/>
          <w:kern w:val="2"/>
          <w:sz w:val="32"/>
          <w:lang w:eastAsia="zh-CN" w:bidi="ar-SA"/>
        </w:rPr>
        <w:t>县直承担规划目标任务的有关部门、相关机构和人民团体结合职责，按照任务分工，制定实施方案并报送</w:t>
      </w:r>
      <w:r>
        <w:rPr>
          <w:rFonts w:hint="eastAsia" w:cs="Times New Roman"/>
          <w:color w:val="auto"/>
          <w:kern w:val="2"/>
          <w:sz w:val="32"/>
          <w:lang w:val="en-US" w:eastAsia="zh-CN" w:bidi="ar-SA"/>
        </w:rPr>
        <w:t>县</w:t>
      </w:r>
      <w:r>
        <w:rPr>
          <w:rFonts w:hint="default" w:ascii="Times New Roman" w:hAnsi="Times New Roman" w:eastAsia="仿宋_GB2312" w:cs="Times New Roman"/>
          <w:color w:val="auto"/>
          <w:kern w:val="2"/>
          <w:sz w:val="32"/>
          <w:lang w:eastAsia="zh-CN" w:bidi="ar-SA"/>
        </w:rPr>
        <w:t>妇儿工委办公室，认真组织实施。</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（五）完善实施规划的制度机制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落实情况和下一年工作安排。健全议事协商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（六）加强儿童发展经费支持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县人民政府将实施规划所需工作经费纳入财政预算，实现儿童事业和经济社会同步发展。重点支持革命老区、欠发达地区儿童发展，支持特殊困难儿童群体发展。动员社会力量，多渠道筹集资源，共同发展儿童事业。</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（七）坚持和创新实施规划的有效做法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贯彻新发展理念，坚持问题导向、目标导向、结果导向，构建促进儿童发展的法规政策体系，完善儿童权利保障机制，实施促进儿童发展的民生项目。通过分类指导、示范先行，总结推广好做法好经验。通过政府购买服务等方式，发挥社会力量推进规划实施的作用。开展与其他县（市、区）的交流合作，交流互鉴经验，讲好惠来儿童发展故事，宣传惠来儿童事业发展成就。</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（八）加强实施规划能力建设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推进机构职能优化，为更好履职尽责提供必要的人力、物力、财力支持，为规划实施提供组织保障。</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（九）加大实施规划宣传力度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楷体" w:hAnsi="楷体" w:eastAsia="楷体" w:cs="楷体"/>
          <w:b w:val="0"/>
          <w:bCs/>
          <w:color w:val="auto"/>
          <w:kern w:val="2"/>
          <w:sz w:val="32"/>
          <w:szCs w:val="24"/>
          <w:lang w:eastAsia="zh-CN" w:bidi="ar-SA"/>
        </w:rPr>
      </w:pPr>
      <w:r>
        <w:rPr>
          <w:rFonts w:hint="eastAsia" w:ascii="楷体" w:hAnsi="楷体" w:eastAsia="楷体" w:cs="楷体"/>
          <w:b w:val="0"/>
          <w:bCs/>
          <w:color w:val="auto"/>
          <w:kern w:val="2"/>
          <w:sz w:val="32"/>
          <w:szCs w:val="24"/>
          <w:lang w:eastAsia="zh-CN" w:bidi="ar-SA"/>
        </w:rPr>
        <w:t>（</w:t>
      </w:r>
      <w:r>
        <w:rPr>
          <w:rFonts w:hint="eastAsia" w:ascii="楷体" w:hAnsi="楷体" w:eastAsia="楷体" w:cs="楷体"/>
          <w:b w:val="0"/>
          <w:bCs/>
          <w:color w:val="auto"/>
          <w:kern w:val="2"/>
          <w:sz w:val="32"/>
          <w:szCs w:val="24"/>
          <w:lang w:val="en-US" w:eastAsia="zh-CN" w:bidi="ar-SA"/>
        </w:rPr>
        <w:t>十</w:t>
      </w:r>
      <w:r>
        <w:rPr>
          <w:rFonts w:hint="eastAsia" w:ascii="楷体" w:hAnsi="楷体" w:eastAsia="楷体" w:cs="楷体"/>
          <w:b w:val="0"/>
          <w:bCs/>
          <w:color w:val="auto"/>
          <w:kern w:val="2"/>
          <w:sz w:val="32"/>
          <w:szCs w:val="24"/>
          <w:lang w:eastAsia="zh-CN" w:bidi="ar-SA"/>
        </w:rPr>
        <w:t>）</w:t>
      </w:r>
      <w:r>
        <w:rPr>
          <w:rFonts w:hint="default" w:ascii="楷体" w:hAnsi="楷体" w:eastAsia="楷体" w:cs="楷体"/>
          <w:b w:val="0"/>
          <w:bCs/>
          <w:color w:val="auto"/>
          <w:kern w:val="2"/>
          <w:sz w:val="32"/>
          <w:szCs w:val="24"/>
          <w:lang w:eastAsia="zh-CN" w:bidi="ar-SA"/>
        </w:rPr>
        <w:t>加强儿童发展调查研究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auto"/>
          <w:kern w:val="2"/>
          <w:sz w:val="32"/>
          <w:szCs w:val="24"/>
          <w:lang w:eastAsia="zh-CN" w:bidi="ar-SA"/>
        </w:rPr>
      </w:pPr>
      <w:r>
        <w:rPr>
          <w:rFonts w:hint="eastAsia" w:ascii="仿宋_GB2312" w:hAnsi="仿宋_GB2312" w:eastAsia="仿宋_GB2312" w:cs="仿宋_GB2312"/>
          <w:b w:val="0"/>
          <w:bCs w:val="0"/>
          <w:color w:val="auto"/>
          <w:kern w:val="2"/>
          <w:sz w:val="32"/>
          <w:lang w:eastAsia="zh-CN" w:bidi="ar-SA"/>
        </w:rPr>
        <w:t>充分发挥县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完善相</w:t>
      </w:r>
      <w:r>
        <w:rPr>
          <w:rFonts w:hint="eastAsia" w:ascii="仿宋_GB2312" w:hAnsi="仿宋_GB2312" w:eastAsia="仿宋_GB2312" w:cs="仿宋_GB2312"/>
          <w:b w:val="0"/>
          <w:bCs w:val="0"/>
          <w:color w:val="auto"/>
          <w:kern w:val="2"/>
          <w:sz w:val="32"/>
          <w:szCs w:val="24"/>
          <w:lang w:eastAsia="zh-CN" w:bidi="ar-SA"/>
        </w:rPr>
        <w:t>关法规政策提供参考。</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（十一）鼓励社会各界广泛参与规划实施</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3"/>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auto"/>
        <w:rPr>
          <w:rFonts w:hint="default" w:ascii="Times New Roman" w:hAnsi="Times New Roman" w:cs="Times New Roman"/>
          <w:b w:val="0"/>
          <w:bCs w:val="0"/>
          <w:color w:val="auto"/>
          <w:sz w:val="32"/>
          <w:szCs w:val="24"/>
          <w:lang w:eastAsia="zh-CN" w:bidi="ar-SA"/>
        </w:rPr>
      </w:pPr>
      <w:r>
        <w:rPr>
          <w:rFonts w:hint="default" w:ascii="Times New Roman" w:hAnsi="Times New Roman" w:cs="Times New Roman"/>
          <w:b w:val="0"/>
          <w:bCs w:val="0"/>
          <w:color w:val="auto"/>
          <w:sz w:val="32"/>
          <w:szCs w:val="24"/>
          <w:lang w:eastAsia="zh-CN" w:bidi="ar-SA"/>
        </w:rPr>
        <w:t>五、监测评估</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eastAsia" w:ascii="楷体" w:hAnsi="楷体" w:eastAsia="楷体" w:cs="楷体"/>
          <w:b w:val="0"/>
          <w:bCs/>
          <w:color w:val="auto"/>
          <w:kern w:val="2"/>
          <w:sz w:val="32"/>
          <w:szCs w:val="24"/>
          <w:lang w:eastAsia="zh-CN" w:bidi="ar-SA"/>
        </w:rPr>
      </w:pPr>
      <w:r>
        <w:rPr>
          <w:rFonts w:hint="eastAsia" w:ascii="楷体" w:hAnsi="楷体" w:eastAsia="楷体" w:cs="楷体"/>
          <w:b w:val="0"/>
          <w:bCs/>
          <w:color w:val="auto"/>
          <w:kern w:val="2"/>
          <w:sz w:val="32"/>
          <w:szCs w:val="24"/>
          <w:lang w:eastAsia="zh-CN" w:bidi="ar-SA"/>
        </w:rPr>
        <w:t>（一）加强监测评估制度建设</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对规划实施情况进行年度监测、中期评估、终期评估。建立健全儿童发展状况的统计监测指标体系及相关监测制度。县统计部门牵头组织开展年度监测，县妇儿工委成员单位、有关部门、相关机构向县统计部门报送年度监测数据，及时收集、分析反映儿童发展状况的相关数据和信息。县妇儿工委组织开展中期和终期评估，县妇儿工委成员单位、有关部门、相关机构向县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（二）加强监测评估工作组织领导</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县妇儿工委设立监测评估领导小组，由县妇儿工委及相关部门负责同志组成，负责组织领导监测评估工作，审批监测评估方案，审核监测评估报告等。领导小组下设监测组和评估组。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监测组由县统计部门牵头，相关部门负责规划实施情况统计监测的人员参加，负责监测工作的组织、指导和培训，制定监测方案和指标体系，收集、分析数据信息，向县妇儿工委提交年度、中期和终期监测报告，编辑出版年度妇女儿童统计资料等。监测组成员负责统筹协调本部门规划实施监测、分析、数据上报、分性别分年龄指标完善等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儿童保护与发展中的突出问题开展专项调查、评估，结果可供规划中期和终期评估参考。</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（三）加强儿童发展统计监测工作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规范完善儿童发展统计监测指标体系，发挥部门作用，根据需要调整扩充儿童发展统计指标，推动纳入国家和部门常规统计以及统计调查制度，加强部门分年龄统计工作，推进儿童发展统计监测制度化建设。加强统计监测队伍建设，加快统计监测信息化建设。健全完善县级儿童发展统计监测数据库，完善监测数据网上报送系统。鼓励支持相关部门对儿童发展缺项数据开展专项统计调查。</w:t>
      </w:r>
    </w:p>
    <w:p>
      <w:pPr>
        <w:pStyle w:val="4"/>
        <w:pageBreakBefore w:val="0"/>
        <w:widowControl w:val="0"/>
        <w:kinsoku/>
        <w:wordWrap/>
        <w:overflowPunct/>
        <w:topLinePunct w:val="0"/>
        <w:autoSpaceDE/>
        <w:autoSpaceDN/>
        <w:bidi w:val="0"/>
        <w:adjustRightInd/>
        <w:snapToGrid/>
        <w:spacing w:before="0" w:beforeLines="0" w:line="560" w:lineRule="exact"/>
        <w:ind w:firstLine="643"/>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（四）提升监测评估工作能力和水平</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lang w:eastAsia="zh-CN" w:bidi="ar-SA"/>
        </w:rPr>
      </w:pPr>
      <w:r>
        <w:rPr>
          <w:rFonts w:hint="default" w:ascii="Times New Roman" w:hAnsi="Times New Roman" w:eastAsia="仿宋_GB2312" w:cs="Times New Roman"/>
          <w:color w:val="auto"/>
          <w:kern w:val="2"/>
          <w:sz w:val="32"/>
          <w:lang w:eastAsia="zh-CN" w:bidi="ar-SA"/>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县人民政府要将规划实施中的实事项目、重点工程纳入专项督查，推动重点问题的解决。县妇儿工委对规划实施情况进行检查和督导。</w:t>
      </w:r>
    </w:p>
    <w:p>
      <w:pPr>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color w:val="auto"/>
          <w:kern w:val="2"/>
          <w:sz w:val="32"/>
          <w:szCs w:val="24"/>
          <w:lang w:eastAsia="zh-CN" w:bidi="ar-SA"/>
        </w:rPr>
      </w:pPr>
      <w:r>
        <w:rPr>
          <w:rFonts w:hint="default" w:ascii="楷体" w:hAnsi="楷体" w:eastAsia="楷体" w:cs="楷体"/>
          <w:b w:val="0"/>
          <w:bCs/>
          <w:color w:val="auto"/>
          <w:kern w:val="2"/>
          <w:sz w:val="32"/>
          <w:szCs w:val="24"/>
          <w:lang w:eastAsia="zh-CN" w:bidi="ar-SA"/>
        </w:rPr>
        <w:t>有效利用监测评估成果</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lang w:eastAsia="zh-CN" w:bidi="ar-SA"/>
        </w:rPr>
      </w:pPr>
      <w:r>
        <w:rPr>
          <w:rFonts w:hint="default" w:ascii="Times New Roman" w:hAnsi="Times New Roman" w:eastAsia="仿宋_GB2312" w:cs="Times New Roman"/>
          <w:b w:val="0"/>
          <w:bCs w:val="0"/>
          <w:color w:val="auto"/>
          <w:kern w:val="2"/>
          <w:sz w:val="32"/>
          <w:lang w:eastAsia="zh-CN" w:bidi="ar-SA"/>
        </w:rPr>
        <w:t>发挥监测评估结果服务决策的作用，定期向县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黑体" w:hAnsi="黑体" w:eastAsia="黑体" w:cs="仿宋"/>
          <w:sz w:val="32"/>
          <w:szCs w:val="32"/>
        </w:rPr>
      </w:pPr>
    </w:p>
    <w:p>
      <w:pPr>
        <w:tabs>
          <w:tab w:val="left" w:pos="415"/>
        </w:tabs>
        <w:spacing w:line="500" w:lineRule="exact"/>
        <w:ind w:left="0" w:leftChars="0" w:firstLine="0" w:firstLineChars="0"/>
        <w:rPr>
          <w:rFonts w:hint="eastAsia" w:ascii="仿宋_GB2312" w:hAnsi="黑体" w:eastAsia="仿宋_GB2312" w:cs="仿宋"/>
          <w:sz w:val="32"/>
          <w:szCs w:val="32"/>
        </w:rPr>
      </w:pPr>
      <w:r>
        <w:rPr>
          <w:rFonts w:hint="eastAsia" w:ascii="黑体" w:hAnsi="黑体" w:eastAsia="黑体" w:cs="仿宋"/>
          <w:sz w:val="32"/>
          <w:szCs w:val="32"/>
        </w:rPr>
        <w:t>公开方式：</w:t>
      </w:r>
      <w:r>
        <w:rPr>
          <w:rFonts w:hint="eastAsia" w:ascii="仿宋_GB2312" w:hAnsi="黑体" w:eastAsia="仿宋_GB2312" w:cs="仿宋"/>
          <w:sz w:val="32"/>
          <w:szCs w:val="32"/>
        </w:rPr>
        <w:t>主动公开</w:t>
      </w:r>
    </w:p>
    <w:p>
      <w:pPr>
        <w:keepNext w:val="0"/>
        <w:keepLines w:val="0"/>
        <w:pageBreakBefore w:val="0"/>
        <w:widowControl w:val="0"/>
        <w:tabs>
          <w:tab w:val="left" w:pos="3476"/>
        </w:tabs>
        <w:kinsoku/>
        <w:wordWrap/>
        <w:overflowPunct/>
        <w:topLinePunct w:val="0"/>
        <w:autoSpaceDE/>
        <w:autoSpaceDN/>
        <w:bidi w:val="0"/>
        <w:adjustRightInd/>
        <w:snapToGrid/>
        <w:spacing w:line="320" w:lineRule="exact"/>
        <w:ind w:left="0" w:leftChars="0" w:firstLine="0" w:firstLineChars="0"/>
        <w:textAlignment w:val="auto"/>
        <w:rPr>
          <w:rFonts w:ascii="仿宋_GB2312"/>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189230</wp:posOffset>
                </wp:positionV>
                <wp:extent cx="55340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14.9pt;height:0pt;width:435.75pt;z-index:251661312;mso-width-relative:page;mso-height-relative:page;" filled="f" stroked="t" coordsize="21600,21600" o:gfxdata="UEsDBAoAAAAAAIdO4kAAAAAAAAAAAAAAAAAEAAAAZHJzL1BLAwQUAAAACACHTuJAntbvzNUAAAAI&#10;AQAADwAAAGRycy9kb3ducmV2LnhtbE2PwU7DMBBE70j8g7VI3Fo7QUCbxqkQAi5ISJTA2Ym3SYS9&#10;jmI3LX/PIg5w3JnR7Lxye/JOzDjFIZCGbKlAILXBDtRpqN8eFysQMRmyxgVCDV8YYVudn5WmsOFI&#10;rzjvUie4hGJhNPQpjYWUse3Rm7gMIxJ7+zB5k/icOmknc+Ry72Su1I30ZiD+0JsR73tsP3cHr+Hu&#10;4/nh6mVufHB23dXv1tfqKdf68iJTGxAJT+kvDD/zeTpUvKkJB7JROA2L7JqTGvI1E7C/ulXM1vwK&#10;sirlf4DqG1BLAwQUAAAACACHTuJAfuC4mQACAAD8AwAADgAAAGRycy9lMm9Eb2MueG1srVO9jhMx&#10;EO6ReAfLPdlcIAhW2Vxx4WgQROKnn9jeXUv+k8fJJi/BCyDRQUVJf2/D8RiMvbnoOJoUbGGNPeNv&#10;5vv28+Jybw3bqYjau4ZfTKacKSe81K5r+McP109ecIYJnATjnWr4QSG/XD5+tBhCrWa+90aqyAjE&#10;YT2EhvcphbqqUPTKAk58UI6SrY8WEm1jV8kIA6FbU82m0+fV4KMM0QuFSKerMcmPiPEcQN+2WqiV&#10;F1urXBpRozKQiBL2OiBflmnbVon0rm1RJWYaTkxTWakJxZu8VssF1F2E0GtxHAHOGeEBJwvaUdMT&#10;1AoSsG3U/0BZLaJH36aJ8LYaiRRFiMXF9IE273sIqnAhqTGcRMf/Byve7taRadnwGWcOLP3w2y8/&#10;f33+9vvmK623P76zWRZpCFhT7ZVbx+MOwzpmxvs2WtYaHT6Rm4oGxIrti8SHk8Rqn5igw/n86bPp&#10;bM6ZuMtVI0SGChHTa+Uty0HDjXaZPdSwe4OJ2lLpXUk+No4NDX85L3BAVmzJAoRsA9FB15W76I2W&#10;19qYfANjt7kyke0g26F8mRzh/lWWm6wA+7GupEaj9ArkKydZOgQSytH74HkEqyRnRtFzyhEBQp1A&#10;m3MqqbVx+YIqZj3yzGqP+uZo4+WBftI2RN31pMtFmTlnyBRl+qOBs+vu7ym+/2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1u/M1QAAAAgBAAAPAAAAAAAAAAEAIAAAACIAAABkcnMvZG93bnJl&#10;di54bWxQSwECFAAUAAAACACHTuJAfuC4mQACAAD8AwAADgAAAAAAAAABACAAAAAkAQAAZHJzL2Uy&#10;b0RvYy54bWxQSwUGAAAAAAYABgBZAQAAlgUAAAAA&#10;">
                <v:fill on="f" focussize="0,0"/>
                <v:stroke color="#000000" joinstyle="round"/>
                <v:imagedata o:title=""/>
                <o:lock v:ext="edit" aspectratio="f"/>
              </v:line>
            </w:pict>
          </mc:Fallback>
        </mc:AlternateContent>
      </w:r>
      <w:r>
        <w:rPr>
          <w:rFonts w:ascii="仿宋_GB2312"/>
        </w:rPr>
        <w:tab/>
      </w:r>
    </w:p>
    <w:p>
      <w:pPr>
        <w:keepNext w:val="0"/>
        <w:keepLines w:val="0"/>
        <w:pageBreakBefore w:val="0"/>
        <w:widowControl w:val="0"/>
        <w:tabs>
          <w:tab w:val="left" w:pos="415"/>
        </w:tabs>
        <w:kinsoku/>
        <w:wordWrap/>
        <w:overflowPunct/>
        <w:topLinePunct w:val="0"/>
        <w:autoSpaceDE/>
        <w:autoSpaceDN/>
        <w:bidi w:val="0"/>
        <w:adjustRightInd/>
        <w:snapToGrid/>
        <w:spacing w:line="400" w:lineRule="exact"/>
        <w:ind w:left="1266" w:leftChars="133" w:right="90" w:rightChars="28" w:hanging="840" w:hangingChars="300"/>
        <w:jc w:val="left"/>
        <w:textAlignment w:val="auto"/>
        <w:rPr>
          <w:rFonts w:hint="eastAsia" w:ascii="仿宋_GB2312" w:eastAsia="仿宋_GB2312"/>
          <w:sz w:val="28"/>
          <w:szCs w:val="28"/>
        </w:rPr>
      </w:pPr>
      <w:r>
        <w:rPr>
          <w:rFonts w:hint="eastAsia" w:ascii="仿宋_GB2312" w:hAnsi="仿宋_GB2312" w:eastAsia="仿宋_GB2312" w:cs="仿宋_GB2312"/>
          <w:sz w:val="28"/>
          <w:szCs w:val="28"/>
        </w:rPr>
        <w:t>分送：</w:t>
      </w:r>
      <w:r>
        <w:rPr>
          <w:rFonts w:hint="eastAsia" w:ascii="仿宋_GB2312" w:eastAsia="仿宋_GB2312"/>
          <w:sz w:val="28"/>
          <w:szCs w:val="28"/>
        </w:rPr>
        <w:t>县委常委，县人大常委会主任，县政协主席，副县长，钟国同志。</w:t>
      </w:r>
    </w:p>
    <w:p>
      <w:pPr>
        <w:keepNext w:val="0"/>
        <w:keepLines w:val="0"/>
        <w:pageBreakBefore w:val="0"/>
        <w:widowControl w:val="0"/>
        <w:tabs>
          <w:tab w:val="left" w:pos="8320"/>
        </w:tabs>
        <w:kinsoku/>
        <w:wordWrap/>
        <w:overflowPunct/>
        <w:topLinePunct w:val="0"/>
        <w:autoSpaceDE/>
        <w:autoSpaceDN/>
        <w:bidi w:val="0"/>
        <w:adjustRightInd/>
        <w:snapToGrid/>
        <w:spacing w:line="400" w:lineRule="exact"/>
        <w:ind w:left="1266" w:leftChars="133" w:right="90" w:rightChars="28" w:hanging="840" w:hangingChars="300"/>
        <w:textAlignment w:val="auto"/>
        <w:rPr>
          <w:rFonts w:hint="eastAsia" w:ascii="仿宋_GB2312" w:hAnsi="仿宋" w:eastAsia="仿宋_GB2312" w:cs="仿宋"/>
          <w:sz w:val="32"/>
          <w:szCs w:val="32"/>
        </w:rPr>
      </w:pPr>
      <w:r>
        <w:rPr>
          <w:rFonts w:hint="eastAsia" w:ascii="仿宋_GB2312" w:eastAsia="仿宋_GB2312"/>
          <w:sz w:val="28"/>
          <w:szCs w:val="28"/>
        </w:rPr>
        <w:t>抄送：县委</w:t>
      </w:r>
      <w:r>
        <w:rPr>
          <w:rFonts w:hint="eastAsia" w:ascii="仿宋_GB2312"/>
          <w:sz w:val="28"/>
          <w:szCs w:val="28"/>
          <w:lang w:val="en-US" w:eastAsia="zh-CN"/>
        </w:rPr>
        <w:t>各</w:t>
      </w:r>
      <w:r>
        <w:rPr>
          <w:rFonts w:hint="eastAsia" w:ascii="仿宋_GB2312" w:eastAsia="仿宋_GB2312"/>
          <w:sz w:val="28"/>
          <w:szCs w:val="28"/>
        </w:rPr>
        <w:t>部委办，县人大常委会办公室，县政协办公室，县纪</w:t>
      </w:r>
      <w:r>
        <w:rPr>
          <w:rFonts w:hint="eastAsia" w:ascii="仿宋_GB2312"/>
          <w:sz w:val="28"/>
          <w:szCs w:val="28"/>
          <w:lang w:val="en-US" w:eastAsia="zh-CN"/>
        </w:rPr>
        <w:t>监</w:t>
      </w:r>
      <w:r>
        <w:rPr>
          <w:rFonts w:hint="eastAsia" w:ascii="仿宋_GB2312" w:eastAsia="仿宋_GB2312"/>
          <w:sz w:val="28"/>
          <w:szCs w:val="28"/>
        </w:rPr>
        <w:t>委办公室，</w:t>
      </w:r>
      <w:r>
        <w:rPr>
          <w:rFonts w:hint="eastAsia" w:ascii="仿宋_GB2312" w:hAnsi="仿宋" w:eastAsia="仿宋_GB2312" w:cs="仿宋"/>
          <w:sz w:val="28"/>
          <w:szCs w:val="28"/>
        </w:rPr>
        <w:t>县人武部，县法院，县检察院，</w:t>
      </w:r>
      <w:r>
        <w:rPr>
          <w:rFonts w:hint="eastAsia" w:ascii="仿宋_GB2312"/>
          <w:sz w:val="28"/>
          <w:szCs w:val="28"/>
          <w:lang w:val="en-US" w:eastAsia="zh-CN"/>
        </w:rPr>
        <w:t>各</w:t>
      </w:r>
      <w:r>
        <w:rPr>
          <w:rFonts w:hint="eastAsia" w:ascii="仿宋_GB2312" w:eastAsia="仿宋_GB2312"/>
          <w:sz w:val="28"/>
          <w:szCs w:val="28"/>
        </w:rPr>
        <w:t>人民团体，省市驻惠单位。</w:t>
      </w:r>
    </w:p>
    <w:p>
      <w:pPr>
        <w:tabs>
          <w:tab w:val="left" w:pos="2993"/>
        </w:tabs>
        <w:spacing w:line="500" w:lineRule="exact"/>
        <w:ind w:firstLine="280" w:firstLineChars="100"/>
        <w:rPr>
          <w:rFonts w:hint="eastAsia" w:ascii="Times New Roman" w:hAnsi="Times New Roman" w:cs="Times New Roman"/>
          <w:b/>
          <w:bCs/>
          <w:color w:val="auto"/>
          <w:sz w:val="44"/>
          <w:szCs w:val="44"/>
          <w:lang w:eastAsia="zh-CN"/>
        </w:rPr>
      </w:pPr>
      <w:r>
        <w:rPr>
          <w:rFonts w:hint="eastAsia" w:ascii="仿宋_GB2312" w:hAnsi="仿宋" w:eastAsia="仿宋_GB2312"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354965</wp:posOffset>
                </wp:positionV>
                <wp:extent cx="553402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27.95pt;height:0pt;width:435.75pt;z-index:251660288;mso-width-relative:page;mso-height-relative:page;" filled="f" stroked="t" coordsize="21600,21600" o:gfxdata="UEsDBAoAAAAAAIdO4kAAAAAAAAAAAAAAAAAEAAAAZHJzL1BLAwQUAAAACACHTuJA9vGx79YAAAAI&#10;AQAADwAAAGRycy9kb3ducmV2LnhtbE2PwU7DMBBE70j8g7VI3Fq7rVKlIZsKIeCChEQJnJ14SSLs&#10;dRS7afl7jDjAcXZWM2/K/dlZMdMUBs8Iq6UCQdx6M3CHUL8+LHIQIWo22nomhC8KsK8uL0pdGH/i&#10;F5oPsRMphEOhEfoYx0LK0PbkdFj6kTh5H35yOiY5ddJM+pTCnZVrpbbS6YFTQ69Huuup/TwcHcLt&#10;+9P95nlunLdm19VvxtXqcY14fbVSNyAinePfM/zgJ3SoElPjj2yCsAiLTZoSEbJsByL5+TbPQDS/&#10;B1mV8v+A6htQSwMEFAAAAAgAh07iQM1CdJ3/AQAA/AMAAA4AAABkcnMvZTJvRG9jLnhtbK1TS44T&#10;MRDdI3EHy3vSnZAgaKUziwnDBkEkPnvHn25L/snlpJNLcAEkdrBiyZ7bMByDsjsTDcMmC3phlV3l&#10;V/VePy+vDtaQvYygvWvpdFJTIh33QruupR/e3zx5Tgkk5gQz3smWHiXQq9XjR8shNHLme2+EjARB&#10;HDRDaGmfUmiqCngvLYOJD9JhUvloWcJt7CoR2YDo1lSzun5WDT6KED2XAHi6HpP0hBgvAfRKaS7X&#10;nu+sdGlEjdKwhJSg1wHoqkyrlOTprVIgEzEtRaaprNgE421eq9WSNV1kodf8NAK7ZIQHnCzTDpue&#10;odYsMbKL+h8oq3n04FWacG+rkUhRBFlM6wfavOtZkIULSg3hLDr8P1j+Zr+JRIuWzilxzOIPv/38&#10;49enr79/fsH19vs3Ms8iDQEarL12m3jaQdjEzPigoiXK6PAR3VQ0QFbkUCQ+niWWh0Q4Hi4WT+f1&#10;bEEJv8tVI0SGChHSK+ktyUFLjXaZPWvY/jUkbIuldyX52DgytPTFosAxtKJCCyCyDUgHXFfugjda&#10;3Ghj8g2I3fbaRLJn2Q7ly+QQ96+y3GTNoB/rSmo0Si+ZeOkESceAQjl8HzSPYKWgxEh8TjlCQNYk&#10;ps0lldjauHxBFrOeeGa1R31ztPXiiD9pF6LuetRlWmbOGTRFmf5k4Oy6+3uM7z/a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8bHv1gAAAAgBAAAPAAAAAAAAAAEAIAAAACIAAABkcnMvZG93bnJl&#10;di54bWxQSwECFAAUAAAACACHTuJAzUJ0nf8BAAD8AwAADgAAAAAAAAABACAAAAAlAQAAZHJzL2Uy&#10;b0RvYy54bWxQSwUGAAAAAAYABgBZAQAAlgU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12700</wp:posOffset>
                </wp:positionV>
                <wp:extent cx="553402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34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1pt;height:0pt;width:435.75pt;z-index:251662336;mso-width-relative:page;mso-height-relative:page;" filled="f" stroked="t" coordsize="21600,21600" o:gfxdata="UEsDBAoAAAAAAIdO4kAAAAAAAAAAAAAAAAAEAAAAZHJzL1BLAwQUAAAACACHTuJAhxVn39MAAAAG&#10;AQAADwAAAGRycy9kb3ducmV2LnhtbE2PwU7DMBBE70j8g7VI3Fo7QUAb4lQIARckpJbQsxMvSYS9&#10;jmI3LX/PwgVuO5rR7Jtyc/JOzDjFIZCGbKlAILXBDtRpqN+eFisQMRmyxgVCDV8YYVOdn5WmsOFI&#10;W5x3qRNcQrEwGvqUxkLK2PboTVyGEYm9jzB5k1hOnbSTOXK5dzJX6kZ6MxB/6M2IDz22n7uD13C/&#10;f3m8ep0bH5xdd/W79bV6zrW+vMjUHYiEp/QXhh98RoeKmZpwIBuF07DIrjmpIedFbK9uFR/Nr5ZV&#10;Kf/jV99QSwMEFAAAAAgAh07iQKlRDcP/AQAA/AMAAA4AAABkcnMvZTJvRG9jLnhtbK1TS44TMRDd&#10;I3EHy3vSnYQgaKUziwnDBkEkPvuKP92W/JPtpJNLcAEkdrBiyZ7bMByDsjsTDcMmC3phlV3lV/Ve&#10;Py+vDkaTvQhROdvS6aSmRFjmuLJdSz+8v3nynJKYwHLQzoqWHkWkV6vHj5aDb8TM9U5zEQiC2NgM&#10;vqV9Sr6pqsh6YSBOnBcWk9IFAwm3oat4gAHRja5mdf2sGlzgPjgmYsTT9ZikJ8RwCaCTUjGxdmxn&#10;hE0jahAaElKKvfKRrsq0UgqW3koZRSK6pcg0lRWbYLzNa7VaQtMF8L1ipxHgkhEecDKgLDY9Q60h&#10;AdkF9Q+UUSy46GSaMGeqkUhRBFlM6wfavOvBi8IFpY7+LHr8f7DszX4TiOItnVNiweAPv/3849en&#10;r79/fsH19vs3Ms8iDT42WHttN+G0i34TMuODDIZIrfxHdFPRAFmRQ5H4eJZYHBJheLhYzJ/WswUl&#10;7C5XjRAZyoeYXglnSA5aqpXN7KGB/euYsC2W3pXkY23J0NIXiwIHaEWJFkBk45FOtF25G51W/EZp&#10;nW/E0G2vdSB7yHYoXyaHuH+V5SZriP1YV1KjUXoB/KXlJB09CmXxfdA8ghGcEi3wOeUIAaFJoPQl&#10;ldha23xBFLOeeGa1R31ztHX8iD9p54PqetRlWmbOGTRFmf5k4Oy6+3uM7z/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FWff0wAAAAYBAAAPAAAAAAAAAAEAIAAAACIAAABkcnMvZG93bnJldi54&#10;bWxQSwECFAAUAAAACACHTuJAqVENw/8BAAD8AwAADgAAAAAAAAABACAAAAAiAQAAZHJzL2Uyb0Rv&#10;Yy54bWxQSwUGAAAAAAYABgBZAQAAkwUAAAAA&#10;">
                <v:fill on="f" focussize="0,0"/>
                <v:stroke color="#000000" joinstyle="round"/>
                <v:imagedata o:title=""/>
                <o:lock v:ext="edit" aspectratio="f"/>
              </v:line>
            </w:pict>
          </mc:Fallback>
        </mc:AlternateContent>
      </w:r>
      <w:r>
        <w:rPr>
          <w:rFonts w:hint="eastAsia" w:ascii="仿宋_GB2312" w:hAnsi="仿宋" w:eastAsia="仿宋_GB2312" w:cs="仿宋"/>
          <w:sz w:val="28"/>
          <w:szCs w:val="28"/>
        </w:rPr>
        <w:t xml:space="preserve">惠来县人民政府办公室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年</w:t>
      </w:r>
      <w:r>
        <w:rPr>
          <w:rFonts w:hint="eastAsia" w:ascii="仿宋_GB2312" w:hAnsi="仿宋" w:cs="仿宋"/>
          <w:sz w:val="28"/>
          <w:szCs w:val="28"/>
          <w:lang w:val="en-US" w:eastAsia="zh-CN"/>
        </w:rPr>
        <w:t>8</w:t>
      </w:r>
      <w:r>
        <w:rPr>
          <w:rFonts w:hint="eastAsia" w:ascii="仿宋_GB2312" w:hAnsi="仿宋" w:eastAsia="仿宋_GB2312" w:cs="仿宋"/>
          <w:sz w:val="28"/>
          <w:szCs w:val="28"/>
        </w:rPr>
        <w:t>月</w:t>
      </w:r>
      <w:r>
        <w:rPr>
          <w:rFonts w:hint="eastAsia" w:ascii="仿宋_GB2312" w:hAnsi="仿宋" w:cs="仿宋"/>
          <w:sz w:val="28"/>
          <w:szCs w:val="28"/>
          <w:lang w:val="en-US" w:eastAsia="zh-CN"/>
        </w:rPr>
        <w:t>24</w:t>
      </w:r>
      <w:r>
        <w:rPr>
          <w:rFonts w:hint="eastAsia" w:ascii="仿宋_GB2312" w:hAnsi="仿宋" w:eastAsia="仿宋_GB2312" w:cs="仿宋"/>
          <w:sz w:val="28"/>
          <w:szCs w:val="28"/>
        </w:rPr>
        <w:t>日印发</w:t>
      </w:r>
    </w:p>
    <w:sectPr>
      <w:headerReference r:id="rId5" w:type="default"/>
      <w:footerReference r:id="rId6" w:type="default"/>
      <w:pgSz w:w="11906" w:h="16838"/>
      <w:pgMar w:top="2098"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NEU-BZ-S92">
    <w:altName w:val="宋体"/>
    <w:panose1 w:val="02020503000000020003"/>
    <w:charset w:val="86"/>
    <w:family w:val="auto"/>
    <w:pitch w:val="default"/>
    <w:sig w:usb0="00000000" w:usb1="00000000" w:usb2="05000016" w:usb3="00000000" w:csb0="003E0001" w:csb1="00000000"/>
  </w:font>
  <w:font w:name="方正小标宋简体">
    <w:altName w:val="黑体"/>
    <w:panose1 w:val="02010601030101010101"/>
    <w:charset w:val="86"/>
    <w:family w:val="auto"/>
    <w:pitch w:val="default"/>
    <w:sig w:usb0="00000000" w:usb1="00000000" w:usb2="00000000" w:usb3="00000000" w:csb0="00040000"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8A9AF"/>
    <w:multiLevelType w:val="singleLevel"/>
    <w:tmpl w:val="AEE8A9AF"/>
    <w:lvl w:ilvl="0" w:tentative="0">
      <w:start w:val="1"/>
      <w:numFmt w:val="chineseCounting"/>
      <w:suff w:val="nothing"/>
      <w:lvlText w:val="（%1）"/>
      <w:lvlJc w:val="left"/>
      <w:rPr>
        <w:rFonts w:hint="eastAsia"/>
      </w:rPr>
    </w:lvl>
  </w:abstractNum>
  <w:abstractNum w:abstractNumId="1">
    <w:nsid w:val="CCA39C8A"/>
    <w:multiLevelType w:val="singleLevel"/>
    <w:tmpl w:val="CCA39C8A"/>
    <w:lvl w:ilvl="0" w:tentative="0">
      <w:start w:val="2"/>
      <w:numFmt w:val="chineseCounting"/>
      <w:suff w:val="nothing"/>
      <w:lvlText w:val="%1、"/>
      <w:lvlJc w:val="left"/>
      <w:pPr>
        <w:ind w:left="-20"/>
      </w:pPr>
      <w:rPr>
        <w:rFonts w:hint="eastAsia"/>
      </w:rPr>
    </w:lvl>
  </w:abstractNum>
  <w:abstractNum w:abstractNumId="2">
    <w:nsid w:val="FA695FE1"/>
    <w:multiLevelType w:val="singleLevel"/>
    <w:tmpl w:val="FA695FE1"/>
    <w:lvl w:ilvl="0" w:tentative="0">
      <w:start w:val="5"/>
      <w:numFmt w:val="chineseCounting"/>
      <w:suff w:val="nothing"/>
      <w:lvlText w:val="（%1）"/>
      <w:lvlJc w:val="left"/>
      <w:rPr>
        <w:rFonts w:hint="eastAsia"/>
      </w:rPr>
    </w:lvl>
  </w:abstractNum>
  <w:abstractNum w:abstractNumId="3">
    <w:nsid w:val="01143487"/>
    <w:multiLevelType w:val="singleLevel"/>
    <w:tmpl w:val="01143487"/>
    <w:lvl w:ilvl="0" w:tentative="0">
      <w:start w:val="1"/>
      <w:numFmt w:val="chineseCounting"/>
      <w:suff w:val="nothing"/>
      <w:lvlText w:val="（%1）"/>
      <w:lvlJc w:val="left"/>
      <w:rPr>
        <w:rFonts w:hint="eastAsia"/>
      </w:rPr>
    </w:lvl>
  </w:abstractNum>
  <w:abstractNum w:abstractNumId="4">
    <w:nsid w:val="12EAB614"/>
    <w:multiLevelType w:val="singleLevel"/>
    <w:tmpl w:val="12EAB614"/>
    <w:lvl w:ilvl="0" w:tentative="0">
      <w:start w:val="1"/>
      <w:numFmt w:val="chineseCounting"/>
      <w:suff w:val="nothing"/>
      <w:lvlText w:val="（%1）"/>
      <w:lvlJc w:val="left"/>
      <w:rPr>
        <w:rFonts w:hint="eastAsia"/>
      </w:rPr>
    </w:lvl>
  </w:abstractNum>
  <w:abstractNum w:abstractNumId="5">
    <w:nsid w:val="2E1723AA"/>
    <w:multiLevelType w:val="singleLevel"/>
    <w:tmpl w:val="2E1723AA"/>
    <w:lvl w:ilvl="0" w:tentative="0">
      <w:start w:val="1"/>
      <w:numFmt w:val="chineseCounting"/>
      <w:suff w:val="nothing"/>
      <w:lvlText w:val="（%1）"/>
      <w:lvlJc w:val="left"/>
      <w:rPr>
        <w:rFonts w:hint="eastAsia"/>
      </w:rPr>
    </w:lvl>
  </w:abstractNum>
  <w:abstractNum w:abstractNumId="6">
    <w:nsid w:val="6CC90922"/>
    <w:multiLevelType w:val="singleLevel"/>
    <w:tmpl w:val="6CC90922"/>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2VjYjdhM2M1NWZjMjcxZjBjMDYyNzA4MDkwOWEifQ=="/>
  </w:docVars>
  <w:rsids>
    <w:rsidRoot w:val="75314440"/>
    <w:rsid w:val="0C5C44F4"/>
    <w:rsid w:val="178B7FC5"/>
    <w:rsid w:val="24D8226F"/>
    <w:rsid w:val="3C497D83"/>
    <w:rsid w:val="410C1698"/>
    <w:rsid w:val="7531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50" w:beforeLines="50"/>
      <w:ind w:firstLine="0" w:firstLineChars="0"/>
      <w:outlineLvl w:val="0"/>
    </w:pPr>
    <w:rPr>
      <w:rFonts w:eastAsia="黑体"/>
      <w:kern w:val="44"/>
    </w:rPr>
  </w:style>
  <w:style w:type="paragraph" w:styleId="4">
    <w:name w:val="heading 2"/>
    <w:basedOn w:val="1"/>
    <w:next w:val="1"/>
    <w:unhideWhenUsed/>
    <w:qFormat/>
    <w:uiPriority w:val="0"/>
    <w:pPr>
      <w:keepNext/>
      <w:keepLines/>
      <w:spacing w:before="50" w:beforeLines="50"/>
      <w:outlineLvl w:val="1"/>
    </w:pPr>
    <w:rPr>
      <w:rFonts w:eastAsia="宋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pBdr>
        <w:top w:val="none" w:color="auto" w:sz="0" w:space="0"/>
        <w:left w:val="none" w:color="auto" w:sz="0" w:space="0"/>
        <w:bottom w:val="none" w:color="auto" w:sz="0" w:space="0"/>
        <w:right w:val="none" w:color="auto" w:sz="0" w:space="0"/>
        <w:between w:val="none" w:color="auto" w:sz="0" w:space="0"/>
      </w:pBdr>
      <w:ind w:left="420" w:firstLine="560"/>
      <w:jc w:val="both"/>
    </w:pPr>
    <w:rPr>
      <w:rFonts w:ascii="仿宋_GB2312" w:hAnsi="仿宋_GB2312" w:eastAsia="仿宋_GB2312" w:cs="仿宋_GB2312"/>
      <w:color w:val="000000"/>
      <w:sz w:val="21"/>
      <w:szCs w:val="21"/>
      <w:lang w:val="en-US" w:eastAsia="zh-CN" w:bidi="ar-SA"/>
    </w:rPr>
  </w:style>
  <w:style w:type="paragraph" w:styleId="5">
    <w:name w:val="Body Text"/>
    <w:basedOn w:val="1"/>
    <w:next w:val="6"/>
    <w:qFormat/>
    <w:uiPriority w:val="0"/>
    <w:pPr>
      <w:spacing w:after="120"/>
    </w:pPr>
  </w:style>
  <w:style w:type="paragraph" w:styleId="6">
    <w:name w:val="Title"/>
    <w:basedOn w:val="1"/>
    <w:next w:val="1"/>
    <w:qFormat/>
    <w:uiPriority w:val="99"/>
    <w:pPr>
      <w:jc w:val="center"/>
      <w:outlineLvl w:val="0"/>
    </w:pPr>
    <w:rPr>
      <w:rFonts w:ascii="方正小标宋_GBK" w:hAnsi="方正小标宋_GBK" w:eastAsia="方正小标宋_GBK"/>
      <w:sz w:val="44"/>
      <w:szCs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Body text|2"/>
    <w:basedOn w:val="1"/>
    <w:qFormat/>
    <w:uiPriority w:val="0"/>
    <w:pPr>
      <w:spacing w:after="240" w:line="586" w:lineRule="exact"/>
      <w:ind w:firstLine="640"/>
    </w:pPr>
    <w:rPr>
      <w:rFonts w:ascii="宋体" w:hAnsi="宋体" w:cs="宋体"/>
      <w:sz w:val="30"/>
      <w:szCs w:val="30"/>
      <w:lang w:val="zh-TW" w:eastAsia="zh-TW" w:bidi="zh-TW"/>
    </w:rPr>
  </w:style>
  <w:style w:type="paragraph" w:customStyle="1" w:styleId="12">
    <w:name w:val="Body text|3"/>
    <w:basedOn w:val="1"/>
    <w:qFormat/>
    <w:uiPriority w:val="0"/>
    <w:pPr>
      <w:spacing w:after="340"/>
      <w:jc w:val="center"/>
    </w:pPr>
    <w:rPr>
      <w:rFonts w:ascii="宋体" w:hAnsi="宋体" w:cs="宋体"/>
      <w:sz w:val="72"/>
      <w:szCs w:val="72"/>
      <w:lang w:val="zh-TW" w:eastAsia="zh-TW" w:bidi="zh-TW"/>
    </w:rPr>
  </w:style>
  <w:style w:type="paragraph" w:customStyle="1" w:styleId="13">
    <w:name w:val="Body text|1"/>
    <w:basedOn w:val="1"/>
    <w:qFormat/>
    <w:uiPriority w:val="0"/>
    <w:pPr>
      <w:spacing w:line="406" w:lineRule="auto"/>
      <w:ind w:firstLine="400"/>
    </w:pPr>
    <w:rPr>
      <w:rFonts w:ascii="宋体" w:hAnsi="宋体" w:cs="宋体"/>
      <w:sz w:val="30"/>
      <w:szCs w:val="30"/>
      <w:lang w:val="zh-TW" w:eastAsia="zh-TW" w:bidi="zh-TW"/>
    </w:rPr>
  </w:style>
  <w:style w:type="paragraph" w:customStyle="1" w:styleId="14">
    <w:name w:val="Body text|4"/>
    <w:basedOn w:val="1"/>
    <w:qFormat/>
    <w:uiPriority w:val="0"/>
    <w:pPr>
      <w:jc w:val="center"/>
    </w:pPr>
    <w:rPr>
      <w:szCs w:val="32"/>
      <w:lang w:val="zh-TW" w:eastAsia="zh-TW" w:bidi="zh-TW"/>
    </w:rPr>
  </w:style>
  <w:style w:type="paragraph" w:customStyle="1" w:styleId="15">
    <w:name w:val="Body text|5"/>
    <w:basedOn w:val="1"/>
    <w:qFormat/>
    <w:uiPriority w:val="0"/>
    <w:pPr>
      <w:spacing w:after="7480"/>
      <w:jc w:val="center"/>
    </w:pPr>
    <w:rPr>
      <w:rFonts w:ascii="宋体" w:hAnsi="宋体" w:cs="宋体"/>
      <w:sz w:val="44"/>
      <w:szCs w:val="44"/>
      <w:lang w:val="zh-TW" w:eastAsia="zh-TW" w:bidi="zh-TW"/>
    </w:rPr>
  </w:style>
  <w:style w:type="paragraph" w:customStyle="1" w:styleId="16">
    <w:name w:val="Table of contents|1"/>
    <w:basedOn w:val="1"/>
    <w:qFormat/>
    <w:uiPriority w:val="0"/>
    <w:pPr>
      <w:spacing w:after="240"/>
      <w:ind w:firstLine="14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54008</Words>
  <Characters>56445</Characters>
  <Lines>0</Lines>
  <Paragraphs>0</Paragraphs>
  <TotalTime>50</TotalTime>
  <ScaleCrop>false</ScaleCrop>
  <LinksUpToDate>false</LinksUpToDate>
  <CharactersWithSpaces>56722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2022-08-12T06:57:00Z</dcterms:created>
  <dc:creator>Lenovo</dc:creator>
  <cp:lastModifiedBy>Administrator</cp:lastModifiedBy>
  <cp:lastPrinted>2022-08-29T08:37:00Z</cp:lastPrinted>
  <dcterms:modified xsi:type="dcterms:W3CDTF">2022-09-16T08:39:43Z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F8E661FBB26A43E3B2158AFA5D64481E</vt:lpwstr>
  </property>
</Properties>
</file>