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4031" w14:textId="77777777" w:rsidR="006450BE" w:rsidRPr="00B66CCE" w:rsidRDefault="006450BE">
      <w:pPr>
        <w:jc w:val="center"/>
        <w:rPr>
          <w:rFonts w:asciiTheme="minorEastAsia" w:hAnsiTheme="minorEastAsia"/>
          <w:b/>
          <w:sz w:val="48"/>
          <w:szCs w:val="48"/>
        </w:rPr>
      </w:pPr>
      <w:bookmarkStart w:id="0" w:name="_Hlk91229036"/>
    </w:p>
    <w:p w14:paraId="39B6698C" w14:textId="77777777" w:rsidR="006450BE" w:rsidRPr="00B66CCE" w:rsidRDefault="006450BE">
      <w:pPr>
        <w:jc w:val="center"/>
        <w:rPr>
          <w:rFonts w:asciiTheme="minorEastAsia" w:hAnsiTheme="minorEastAsia"/>
          <w:b/>
          <w:sz w:val="48"/>
          <w:szCs w:val="48"/>
        </w:rPr>
      </w:pPr>
    </w:p>
    <w:p w14:paraId="25FC0038" w14:textId="77777777" w:rsidR="006450BE" w:rsidRPr="00B66CCE" w:rsidRDefault="006450BE">
      <w:pPr>
        <w:jc w:val="center"/>
        <w:rPr>
          <w:rFonts w:asciiTheme="minorEastAsia" w:hAnsiTheme="minorEastAsia"/>
          <w:b/>
          <w:sz w:val="48"/>
          <w:szCs w:val="48"/>
        </w:rPr>
      </w:pPr>
    </w:p>
    <w:p w14:paraId="4FA12E72" w14:textId="77777777" w:rsidR="006450BE" w:rsidRPr="00B66CCE" w:rsidRDefault="0023482D">
      <w:pPr>
        <w:spacing w:line="480" w:lineRule="auto"/>
        <w:jc w:val="center"/>
        <w:rPr>
          <w:rFonts w:ascii="方正小标宋简体" w:eastAsia="方正小标宋简体" w:hAnsi="方正小标宋简体"/>
          <w:bCs/>
          <w:sz w:val="44"/>
          <w:szCs w:val="44"/>
        </w:rPr>
      </w:pPr>
      <w:r w:rsidRPr="00B66CCE">
        <w:rPr>
          <w:rFonts w:ascii="方正小标宋简体" w:eastAsia="方正小标宋简体" w:hAnsi="方正小标宋简体" w:hint="eastAsia"/>
          <w:bCs/>
          <w:sz w:val="44"/>
          <w:szCs w:val="44"/>
        </w:rPr>
        <w:t>2020</w:t>
      </w:r>
      <w:r w:rsidRPr="00B66CCE">
        <w:rPr>
          <w:rFonts w:ascii="方正小标宋简体" w:eastAsia="方正小标宋简体" w:hAnsi="方正小标宋简体" w:hint="eastAsia"/>
          <w:bCs/>
          <w:sz w:val="44"/>
          <w:szCs w:val="44"/>
        </w:rPr>
        <w:t>年度惠来县特困人员补助救助项目</w:t>
      </w:r>
    </w:p>
    <w:p w14:paraId="757FBDE7" w14:textId="77777777" w:rsidR="006450BE" w:rsidRPr="00B66CCE" w:rsidRDefault="006450BE">
      <w:pPr>
        <w:spacing w:line="480" w:lineRule="auto"/>
        <w:jc w:val="center"/>
        <w:rPr>
          <w:rFonts w:ascii="方正小标宋简体" w:eastAsia="方正小标宋简体" w:hAnsi="方正小标宋简体"/>
          <w:bCs/>
          <w:sz w:val="44"/>
          <w:szCs w:val="44"/>
        </w:rPr>
      </w:pPr>
    </w:p>
    <w:p w14:paraId="40A535BD" w14:textId="77777777" w:rsidR="006450BE" w:rsidRPr="00B66CCE" w:rsidRDefault="0023482D">
      <w:pPr>
        <w:spacing w:line="480" w:lineRule="auto"/>
        <w:jc w:val="center"/>
        <w:rPr>
          <w:rFonts w:ascii="方正小标宋简体" w:eastAsia="方正小标宋简体" w:hAnsi="方正小标宋简体"/>
          <w:bCs/>
          <w:sz w:val="44"/>
          <w:szCs w:val="44"/>
        </w:rPr>
      </w:pPr>
      <w:r w:rsidRPr="00B66CCE">
        <w:rPr>
          <w:rFonts w:ascii="方正小标宋简体" w:eastAsia="方正小标宋简体" w:hAnsi="方正小标宋简体" w:hint="eastAsia"/>
          <w:bCs/>
          <w:sz w:val="44"/>
          <w:szCs w:val="44"/>
        </w:rPr>
        <w:t>绩效评价报告</w:t>
      </w:r>
    </w:p>
    <w:p w14:paraId="1D0B6004" w14:textId="77777777" w:rsidR="006450BE" w:rsidRPr="00B66CCE" w:rsidRDefault="006450BE">
      <w:pPr>
        <w:spacing w:line="480" w:lineRule="auto"/>
        <w:jc w:val="center"/>
        <w:rPr>
          <w:rFonts w:asciiTheme="minorEastAsia" w:hAnsiTheme="minorEastAsia"/>
          <w:b/>
          <w:sz w:val="48"/>
          <w:szCs w:val="48"/>
        </w:rPr>
      </w:pPr>
    </w:p>
    <w:p w14:paraId="586F3073" w14:textId="77777777" w:rsidR="006450BE" w:rsidRPr="00B66CCE" w:rsidRDefault="006450BE">
      <w:pPr>
        <w:spacing w:line="480" w:lineRule="auto"/>
        <w:jc w:val="center"/>
        <w:rPr>
          <w:rFonts w:asciiTheme="minorEastAsia" w:hAnsiTheme="minorEastAsia"/>
          <w:b/>
          <w:sz w:val="48"/>
          <w:szCs w:val="48"/>
        </w:rPr>
      </w:pPr>
    </w:p>
    <w:p w14:paraId="3CA2920E" w14:textId="77777777" w:rsidR="006450BE" w:rsidRPr="00B66CCE" w:rsidRDefault="006450BE">
      <w:pPr>
        <w:spacing w:line="480" w:lineRule="auto"/>
        <w:jc w:val="center"/>
        <w:rPr>
          <w:rFonts w:asciiTheme="minorEastAsia" w:hAnsiTheme="minorEastAsia"/>
          <w:b/>
          <w:sz w:val="48"/>
          <w:szCs w:val="48"/>
        </w:rPr>
      </w:pPr>
    </w:p>
    <w:p w14:paraId="43C9FA9A" w14:textId="77777777" w:rsidR="006450BE" w:rsidRPr="00B66CCE" w:rsidRDefault="006450BE">
      <w:pPr>
        <w:spacing w:line="480" w:lineRule="auto"/>
        <w:jc w:val="center"/>
        <w:rPr>
          <w:rFonts w:asciiTheme="minorEastAsia" w:hAnsiTheme="minorEastAsia"/>
          <w:b/>
          <w:sz w:val="48"/>
          <w:szCs w:val="48"/>
        </w:rPr>
      </w:pPr>
    </w:p>
    <w:p w14:paraId="369FC5C8" w14:textId="77777777" w:rsidR="006450BE" w:rsidRPr="00B66CCE" w:rsidRDefault="006450BE">
      <w:pPr>
        <w:spacing w:line="480" w:lineRule="auto"/>
        <w:jc w:val="center"/>
        <w:rPr>
          <w:rFonts w:asciiTheme="minorEastAsia" w:hAnsiTheme="minorEastAsia"/>
          <w:b/>
          <w:sz w:val="48"/>
          <w:szCs w:val="48"/>
        </w:rPr>
      </w:pPr>
    </w:p>
    <w:p w14:paraId="2A734959" w14:textId="77777777" w:rsidR="006450BE" w:rsidRPr="00B66CCE" w:rsidRDefault="006450BE">
      <w:pPr>
        <w:spacing w:line="480" w:lineRule="auto"/>
        <w:jc w:val="center"/>
        <w:rPr>
          <w:rFonts w:asciiTheme="minorEastAsia" w:hAnsiTheme="minorEastAsia"/>
          <w:b/>
          <w:sz w:val="48"/>
          <w:szCs w:val="48"/>
        </w:rPr>
      </w:pPr>
    </w:p>
    <w:p w14:paraId="23D19DF2" w14:textId="77777777" w:rsidR="006450BE" w:rsidRPr="00B66CCE" w:rsidRDefault="006450BE">
      <w:pPr>
        <w:spacing w:line="480" w:lineRule="auto"/>
        <w:jc w:val="center"/>
        <w:rPr>
          <w:rFonts w:asciiTheme="minorEastAsia" w:hAnsiTheme="minorEastAsia"/>
          <w:b/>
          <w:sz w:val="48"/>
          <w:szCs w:val="48"/>
        </w:rPr>
      </w:pPr>
    </w:p>
    <w:p w14:paraId="3BA512BF" w14:textId="77777777" w:rsidR="006450BE" w:rsidRPr="00B66CCE" w:rsidRDefault="0023482D">
      <w:pPr>
        <w:spacing w:line="480" w:lineRule="auto"/>
        <w:jc w:val="left"/>
        <w:rPr>
          <w:rFonts w:ascii="仿宋" w:eastAsia="仿宋" w:hAnsi="仿宋"/>
          <w:sz w:val="32"/>
          <w:szCs w:val="32"/>
        </w:rPr>
      </w:pPr>
      <w:r w:rsidRPr="00B66CCE">
        <w:rPr>
          <w:rFonts w:ascii="仿宋" w:eastAsia="仿宋" w:hAnsi="仿宋" w:hint="eastAsia"/>
          <w:sz w:val="32"/>
          <w:szCs w:val="32"/>
        </w:rPr>
        <w:t>评价机构：广州成鹏会计师事务所（普通合伙）</w:t>
      </w:r>
    </w:p>
    <w:p w14:paraId="46CD0E51" w14:textId="77777777" w:rsidR="006450BE" w:rsidRPr="00B66CCE" w:rsidRDefault="006450BE">
      <w:pPr>
        <w:spacing w:line="480" w:lineRule="auto"/>
        <w:jc w:val="left"/>
        <w:rPr>
          <w:rFonts w:ascii="仿宋" w:eastAsia="仿宋" w:hAnsi="仿宋"/>
          <w:sz w:val="32"/>
          <w:szCs w:val="32"/>
        </w:rPr>
      </w:pPr>
    </w:p>
    <w:p w14:paraId="43AB069A" w14:textId="77777777" w:rsidR="006450BE" w:rsidRPr="00B66CCE" w:rsidRDefault="0023482D">
      <w:pPr>
        <w:spacing w:line="480" w:lineRule="auto"/>
        <w:jc w:val="left"/>
        <w:rPr>
          <w:rFonts w:ascii="仿宋" w:eastAsia="仿宋" w:hAnsi="仿宋"/>
          <w:sz w:val="32"/>
          <w:szCs w:val="32"/>
        </w:rPr>
      </w:pPr>
      <w:r w:rsidRPr="00B66CCE">
        <w:rPr>
          <w:rFonts w:ascii="仿宋" w:eastAsia="仿宋" w:hAnsi="仿宋" w:hint="eastAsia"/>
          <w:sz w:val="32"/>
          <w:szCs w:val="32"/>
        </w:rPr>
        <w:t>机构负责人：杨宇刚</w:t>
      </w:r>
    </w:p>
    <w:p w14:paraId="13291F3C" w14:textId="77777777" w:rsidR="006450BE" w:rsidRPr="00B66CCE" w:rsidRDefault="006450BE">
      <w:pPr>
        <w:spacing w:line="480" w:lineRule="auto"/>
        <w:jc w:val="left"/>
        <w:rPr>
          <w:rFonts w:ascii="仿宋" w:eastAsia="仿宋" w:hAnsi="仿宋"/>
          <w:sz w:val="32"/>
          <w:szCs w:val="32"/>
        </w:rPr>
      </w:pPr>
    </w:p>
    <w:p w14:paraId="2B9FF9BE" w14:textId="77777777" w:rsidR="006450BE" w:rsidRPr="00B66CCE" w:rsidRDefault="0023482D">
      <w:pPr>
        <w:spacing w:line="480" w:lineRule="auto"/>
        <w:jc w:val="left"/>
        <w:rPr>
          <w:rFonts w:ascii="仿宋" w:eastAsia="仿宋" w:hAnsi="仿宋"/>
          <w:sz w:val="32"/>
          <w:szCs w:val="32"/>
        </w:rPr>
      </w:pPr>
      <w:r w:rsidRPr="00B66CCE">
        <w:rPr>
          <w:rFonts w:ascii="仿宋" w:eastAsia="仿宋" w:hAnsi="仿宋" w:hint="eastAsia"/>
          <w:sz w:val="32"/>
          <w:szCs w:val="32"/>
        </w:rPr>
        <w:t>评价基准日：</w:t>
      </w:r>
      <w:r w:rsidRPr="00B66CCE">
        <w:rPr>
          <w:rFonts w:ascii="仿宋" w:eastAsia="仿宋" w:hAnsi="仿宋" w:hint="eastAsia"/>
          <w:sz w:val="32"/>
          <w:szCs w:val="32"/>
        </w:rPr>
        <w:t>2</w:t>
      </w:r>
      <w:r w:rsidRPr="00B66CCE">
        <w:rPr>
          <w:rFonts w:ascii="仿宋" w:eastAsia="仿宋" w:hAnsi="仿宋"/>
          <w:sz w:val="32"/>
          <w:szCs w:val="32"/>
        </w:rPr>
        <w:t>021</w:t>
      </w:r>
      <w:r w:rsidRPr="00B66CCE">
        <w:rPr>
          <w:rFonts w:ascii="仿宋" w:eastAsia="仿宋" w:hAnsi="仿宋" w:hint="eastAsia"/>
          <w:sz w:val="32"/>
          <w:szCs w:val="32"/>
        </w:rPr>
        <w:t>年</w:t>
      </w:r>
      <w:r w:rsidRPr="00B66CCE">
        <w:rPr>
          <w:rFonts w:ascii="仿宋" w:eastAsia="仿宋" w:hAnsi="仿宋" w:hint="eastAsia"/>
          <w:sz w:val="32"/>
          <w:szCs w:val="32"/>
        </w:rPr>
        <w:t>1</w:t>
      </w:r>
      <w:r w:rsidRPr="00B66CCE">
        <w:rPr>
          <w:rFonts w:ascii="仿宋" w:eastAsia="仿宋" w:hAnsi="仿宋"/>
          <w:sz w:val="32"/>
          <w:szCs w:val="32"/>
        </w:rPr>
        <w:t>0</w:t>
      </w:r>
      <w:r w:rsidRPr="00B66CCE">
        <w:rPr>
          <w:rFonts w:ascii="仿宋" w:eastAsia="仿宋" w:hAnsi="仿宋" w:hint="eastAsia"/>
          <w:sz w:val="32"/>
          <w:szCs w:val="32"/>
        </w:rPr>
        <w:t>月</w:t>
      </w:r>
      <w:r w:rsidRPr="00B66CCE">
        <w:rPr>
          <w:rFonts w:ascii="仿宋" w:eastAsia="仿宋" w:hAnsi="仿宋" w:hint="eastAsia"/>
          <w:sz w:val="32"/>
          <w:szCs w:val="32"/>
        </w:rPr>
        <w:t>3</w:t>
      </w:r>
      <w:r w:rsidRPr="00B66CCE">
        <w:rPr>
          <w:rFonts w:ascii="仿宋" w:eastAsia="仿宋" w:hAnsi="仿宋"/>
          <w:sz w:val="32"/>
          <w:szCs w:val="32"/>
        </w:rPr>
        <w:t>1</w:t>
      </w:r>
      <w:r w:rsidRPr="00B66CCE">
        <w:rPr>
          <w:rFonts w:ascii="仿宋" w:eastAsia="仿宋" w:hAnsi="仿宋" w:hint="eastAsia"/>
          <w:sz w:val="32"/>
          <w:szCs w:val="32"/>
        </w:rPr>
        <w:t>日</w:t>
      </w:r>
    </w:p>
    <w:p w14:paraId="333CC9A9" w14:textId="77777777" w:rsidR="006450BE" w:rsidRPr="00B66CCE" w:rsidRDefault="006450BE">
      <w:pPr>
        <w:spacing w:line="480" w:lineRule="auto"/>
        <w:jc w:val="center"/>
        <w:rPr>
          <w:rFonts w:asciiTheme="majorEastAsia" w:eastAsiaTheme="majorEastAsia" w:hAnsiTheme="majorEastAsia"/>
          <w:b/>
          <w:sz w:val="44"/>
          <w:szCs w:val="44"/>
        </w:rPr>
        <w:sectPr w:rsidR="006450BE" w:rsidRPr="00B66CCE">
          <w:pgSz w:w="11906" w:h="16838"/>
          <w:pgMar w:top="1440" w:right="1416" w:bottom="1440" w:left="1800" w:header="851" w:footer="992" w:gutter="0"/>
          <w:cols w:space="425"/>
          <w:docGrid w:type="lines" w:linePitch="312"/>
        </w:sectPr>
      </w:pPr>
    </w:p>
    <w:p w14:paraId="3E1137DB" w14:textId="77777777" w:rsidR="006450BE" w:rsidRPr="00B66CCE" w:rsidRDefault="0023482D">
      <w:pPr>
        <w:spacing w:line="480" w:lineRule="auto"/>
        <w:jc w:val="center"/>
        <w:rPr>
          <w:rFonts w:asciiTheme="majorEastAsia" w:eastAsiaTheme="majorEastAsia" w:hAnsiTheme="majorEastAsia"/>
          <w:b/>
          <w:sz w:val="44"/>
          <w:szCs w:val="44"/>
        </w:rPr>
      </w:pPr>
      <w:r w:rsidRPr="00B66CCE">
        <w:rPr>
          <w:rFonts w:asciiTheme="majorEastAsia" w:eastAsiaTheme="majorEastAsia" w:hAnsiTheme="majorEastAsia" w:hint="eastAsia"/>
          <w:b/>
          <w:sz w:val="44"/>
          <w:szCs w:val="44"/>
        </w:rPr>
        <w:lastRenderedPageBreak/>
        <w:t>目录</w:t>
      </w:r>
    </w:p>
    <w:p w14:paraId="35988FC5" w14:textId="77777777" w:rsidR="006450BE" w:rsidRPr="00B66CCE" w:rsidRDefault="006450BE">
      <w:pPr>
        <w:spacing w:line="480" w:lineRule="auto"/>
        <w:jc w:val="center"/>
        <w:rPr>
          <w:rFonts w:asciiTheme="majorEastAsia" w:eastAsiaTheme="majorEastAsia" w:hAnsiTheme="majorEastAsia"/>
          <w:bCs/>
          <w:sz w:val="44"/>
          <w:szCs w:val="44"/>
        </w:rPr>
      </w:pPr>
    </w:p>
    <w:p w14:paraId="38D04FC9" w14:textId="77777777" w:rsidR="006450BE" w:rsidRPr="00B66CCE" w:rsidRDefault="0023482D">
      <w:pPr>
        <w:pStyle w:val="TOC1"/>
        <w:tabs>
          <w:tab w:val="right" w:leader="dot" w:pos="8680"/>
        </w:tabs>
        <w:spacing w:line="276" w:lineRule="auto"/>
        <w:rPr>
          <w:rFonts w:ascii="黑体" w:eastAsia="黑体" w:hAnsi="黑体"/>
          <w:sz w:val="32"/>
          <w:szCs w:val="32"/>
        </w:rPr>
      </w:pPr>
      <w:r w:rsidRPr="00B66CCE">
        <w:fldChar w:fldCharType="begin"/>
      </w:r>
      <w:r w:rsidRPr="00B66CCE">
        <w:instrText xml:space="preserve"> TOC \t "</w:instrText>
      </w:r>
      <w:r w:rsidRPr="00B66CCE">
        <w:instrText>一级标题</w:instrText>
      </w:r>
      <w:r w:rsidRPr="00B66CCE">
        <w:instrText>,1,</w:instrText>
      </w:r>
      <w:r w:rsidRPr="00B66CCE">
        <w:instrText>二级标题</w:instrText>
      </w:r>
      <w:r w:rsidRPr="00B66CCE">
        <w:instrText xml:space="preserve">,2" </w:instrText>
      </w:r>
      <w:r w:rsidRPr="00B66CCE">
        <w:fldChar w:fldCharType="separate"/>
      </w:r>
      <w:r w:rsidRPr="00B66CCE">
        <w:rPr>
          <w:rFonts w:ascii="黑体" w:eastAsia="黑体" w:hAnsi="黑体"/>
          <w:sz w:val="32"/>
          <w:szCs w:val="32"/>
        </w:rPr>
        <w:t>一、项目基本情况</w:t>
      </w:r>
      <w:r w:rsidRPr="00B66CCE">
        <w:rPr>
          <w:rFonts w:ascii="黑体" w:eastAsia="黑体" w:hAnsi="黑体"/>
          <w:sz w:val="32"/>
          <w:szCs w:val="32"/>
        </w:rPr>
        <w:tab/>
      </w:r>
      <w:r w:rsidRPr="00B66CCE">
        <w:rPr>
          <w:rFonts w:ascii="黑体" w:eastAsia="黑体" w:hAnsi="黑体"/>
          <w:sz w:val="32"/>
          <w:szCs w:val="32"/>
        </w:rPr>
        <w:fldChar w:fldCharType="begin"/>
      </w:r>
      <w:r w:rsidRPr="00B66CCE">
        <w:rPr>
          <w:rFonts w:ascii="黑体" w:eastAsia="黑体" w:hAnsi="黑体"/>
          <w:sz w:val="32"/>
          <w:szCs w:val="32"/>
        </w:rPr>
        <w:instrText xml:space="preserve"> PAGEREF _Toc109650647 \h </w:instrText>
      </w:r>
      <w:r w:rsidRPr="00B66CCE">
        <w:rPr>
          <w:rFonts w:ascii="黑体" w:eastAsia="黑体" w:hAnsi="黑体"/>
          <w:sz w:val="32"/>
          <w:szCs w:val="32"/>
        </w:rPr>
      </w:r>
      <w:r w:rsidRPr="00B66CCE">
        <w:rPr>
          <w:rFonts w:ascii="黑体" w:eastAsia="黑体" w:hAnsi="黑体"/>
          <w:sz w:val="32"/>
          <w:szCs w:val="32"/>
        </w:rPr>
        <w:fldChar w:fldCharType="separate"/>
      </w:r>
      <w:r w:rsidRPr="00B66CCE">
        <w:rPr>
          <w:rFonts w:ascii="黑体" w:eastAsia="黑体" w:hAnsi="黑体"/>
          <w:sz w:val="32"/>
          <w:szCs w:val="32"/>
        </w:rPr>
        <w:t>1</w:t>
      </w:r>
      <w:r w:rsidRPr="00B66CCE">
        <w:rPr>
          <w:rFonts w:ascii="黑体" w:eastAsia="黑体" w:hAnsi="黑体"/>
          <w:sz w:val="32"/>
          <w:szCs w:val="32"/>
        </w:rPr>
        <w:fldChar w:fldCharType="end"/>
      </w:r>
    </w:p>
    <w:p w14:paraId="2A9195FB" w14:textId="77777777" w:rsidR="006450BE" w:rsidRPr="00B66CCE" w:rsidRDefault="0023482D">
      <w:pPr>
        <w:pStyle w:val="TOC2"/>
        <w:tabs>
          <w:tab w:val="right" w:leader="dot" w:pos="8680"/>
        </w:tabs>
        <w:spacing w:line="276" w:lineRule="auto"/>
        <w:rPr>
          <w:rFonts w:ascii="楷体" w:eastAsia="楷体" w:hAnsi="楷体"/>
          <w:sz w:val="32"/>
          <w:szCs w:val="32"/>
        </w:rPr>
      </w:pPr>
      <w:r w:rsidRPr="00B66CCE">
        <w:rPr>
          <w:rFonts w:ascii="楷体" w:eastAsia="楷体" w:hAnsi="楷体"/>
          <w:sz w:val="32"/>
          <w:szCs w:val="32"/>
        </w:rPr>
        <w:t>（一）项目概况</w:t>
      </w:r>
      <w:r w:rsidRPr="00B66CCE">
        <w:rPr>
          <w:rFonts w:ascii="楷体" w:eastAsia="楷体" w:hAnsi="楷体"/>
          <w:sz w:val="32"/>
          <w:szCs w:val="32"/>
        </w:rPr>
        <w:tab/>
      </w:r>
      <w:r w:rsidRPr="00B66CCE">
        <w:rPr>
          <w:rFonts w:ascii="楷体" w:eastAsia="楷体" w:hAnsi="楷体"/>
          <w:sz w:val="32"/>
          <w:szCs w:val="32"/>
        </w:rPr>
        <w:fldChar w:fldCharType="begin"/>
      </w:r>
      <w:r w:rsidRPr="00B66CCE">
        <w:rPr>
          <w:rFonts w:ascii="楷体" w:eastAsia="楷体" w:hAnsi="楷体"/>
          <w:sz w:val="32"/>
          <w:szCs w:val="32"/>
        </w:rPr>
        <w:instrText xml:space="preserve"> PAGEREF _Toc109650648 \h </w:instrText>
      </w:r>
      <w:r w:rsidRPr="00B66CCE">
        <w:rPr>
          <w:rFonts w:ascii="楷体" w:eastAsia="楷体" w:hAnsi="楷体"/>
          <w:sz w:val="32"/>
          <w:szCs w:val="32"/>
        </w:rPr>
      </w:r>
      <w:r w:rsidRPr="00B66CCE">
        <w:rPr>
          <w:rFonts w:ascii="楷体" w:eastAsia="楷体" w:hAnsi="楷体"/>
          <w:sz w:val="32"/>
          <w:szCs w:val="32"/>
        </w:rPr>
        <w:fldChar w:fldCharType="separate"/>
      </w:r>
      <w:r w:rsidRPr="00B66CCE">
        <w:rPr>
          <w:rFonts w:ascii="楷体" w:eastAsia="楷体" w:hAnsi="楷体"/>
          <w:sz w:val="32"/>
          <w:szCs w:val="32"/>
        </w:rPr>
        <w:t>1</w:t>
      </w:r>
      <w:r w:rsidRPr="00B66CCE">
        <w:rPr>
          <w:rFonts w:ascii="楷体" w:eastAsia="楷体" w:hAnsi="楷体"/>
          <w:sz w:val="32"/>
          <w:szCs w:val="32"/>
        </w:rPr>
        <w:fldChar w:fldCharType="end"/>
      </w:r>
    </w:p>
    <w:p w14:paraId="2E338E5C" w14:textId="77777777" w:rsidR="006450BE" w:rsidRPr="00B66CCE" w:rsidRDefault="0023482D">
      <w:pPr>
        <w:pStyle w:val="TOC2"/>
        <w:tabs>
          <w:tab w:val="right" w:leader="dot" w:pos="8680"/>
        </w:tabs>
        <w:spacing w:line="276" w:lineRule="auto"/>
        <w:rPr>
          <w:rFonts w:ascii="楷体" w:eastAsia="楷体" w:hAnsi="楷体"/>
          <w:sz w:val="32"/>
          <w:szCs w:val="32"/>
        </w:rPr>
      </w:pPr>
      <w:r w:rsidRPr="00B66CCE">
        <w:rPr>
          <w:rFonts w:ascii="楷体" w:eastAsia="楷体" w:hAnsi="楷体"/>
          <w:sz w:val="32"/>
          <w:szCs w:val="32"/>
        </w:rPr>
        <w:t>（二）项目实施管理程序</w:t>
      </w:r>
      <w:r w:rsidRPr="00B66CCE">
        <w:rPr>
          <w:rFonts w:ascii="楷体" w:eastAsia="楷体" w:hAnsi="楷体"/>
          <w:sz w:val="32"/>
          <w:szCs w:val="32"/>
        </w:rPr>
        <w:tab/>
      </w:r>
      <w:r w:rsidRPr="00B66CCE">
        <w:rPr>
          <w:rFonts w:ascii="楷体" w:eastAsia="楷体" w:hAnsi="楷体"/>
          <w:sz w:val="32"/>
          <w:szCs w:val="32"/>
        </w:rPr>
        <w:fldChar w:fldCharType="begin"/>
      </w:r>
      <w:r w:rsidRPr="00B66CCE">
        <w:rPr>
          <w:rFonts w:ascii="楷体" w:eastAsia="楷体" w:hAnsi="楷体"/>
          <w:sz w:val="32"/>
          <w:szCs w:val="32"/>
        </w:rPr>
        <w:instrText xml:space="preserve"> PAGEREF _Toc109650649 \h </w:instrText>
      </w:r>
      <w:r w:rsidRPr="00B66CCE">
        <w:rPr>
          <w:rFonts w:ascii="楷体" w:eastAsia="楷体" w:hAnsi="楷体"/>
          <w:sz w:val="32"/>
          <w:szCs w:val="32"/>
        </w:rPr>
      </w:r>
      <w:r w:rsidRPr="00B66CCE">
        <w:rPr>
          <w:rFonts w:ascii="楷体" w:eastAsia="楷体" w:hAnsi="楷体"/>
          <w:sz w:val="32"/>
          <w:szCs w:val="32"/>
        </w:rPr>
        <w:fldChar w:fldCharType="separate"/>
      </w:r>
      <w:r w:rsidRPr="00B66CCE">
        <w:rPr>
          <w:rFonts w:ascii="楷体" w:eastAsia="楷体" w:hAnsi="楷体"/>
          <w:sz w:val="32"/>
          <w:szCs w:val="32"/>
        </w:rPr>
        <w:t>2</w:t>
      </w:r>
      <w:r w:rsidRPr="00B66CCE">
        <w:rPr>
          <w:rFonts w:ascii="楷体" w:eastAsia="楷体" w:hAnsi="楷体"/>
          <w:sz w:val="32"/>
          <w:szCs w:val="32"/>
        </w:rPr>
        <w:fldChar w:fldCharType="end"/>
      </w:r>
    </w:p>
    <w:p w14:paraId="0AE9208A" w14:textId="77777777" w:rsidR="006450BE" w:rsidRPr="00B66CCE" w:rsidRDefault="0023482D">
      <w:pPr>
        <w:pStyle w:val="TOC2"/>
        <w:tabs>
          <w:tab w:val="right" w:leader="dot" w:pos="8680"/>
        </w:tabs>
        <w:spacing w:line="276" w:lineRule="auto"/>
        <w:rPr>
          <w:rFonts w:ascii="楷体" w:eastAsia="楷体" w:hAnsi="楷体"/>
          <w:sz w:val="32"/>
          <w:szCs w:val="32"/>
        </w:rPr>
      </w:pPr>
      <w:r w:rsidRPr="00B66CCE">
        <w:rPr>
          <w:rFonts w:ascii="楷体" w:eastAsia="楷体" w:hAnsi="楷体"/>
          <w:sz w:val="32"/>
          <w:szCs w:val="32"/>
        </w:rPr>
        <w:t>（三）项目资金来源及使用情况</w:t>
      </w:r>
      <w:r w:rsidRPr="00B66CCE">
        <w:rPr>
          <w:rFonts w:ascii="楷体" w:eastAsia="楷体" w:hAnsi="楷体"/>
          <w:sz w:val="32"/>
          <w:szCs w:val="32"/>
        </w:rPr>
        <w:tab/>
      </w:r>
      <w:r w:rsidRPr="00B66CCE">
        <w:rPr>
          <w:rFonts w:ascii="楷体" w:eastAsia="楷体" w:hAnsi="楷体"/>
          <w:sz w:val="32"/>
          <w:szCs w:val="32"/>
        </w:rPr>
        <w:fldChar w:fldCharType="begin"/>
      </w:r>
      <w:r w:rsidRPr="00B66CCE">
        <w:rPr>
          <w:rFonts w:ascii="楷体" w:eastAsia="楷体" w:hAnsi="楷体"/>
          <w:sz w:val="32"/>
          <w:szCs w:val="32"/>
        </w:rPr>
        <w:instrText xml:space="preserve"> PAGEREF _Toc109650650 \h </w:instrText>
      </w:r>
      <w:r w:rsidRPr="00B66CCE">
        <w:rPr>
          <w:rFonts w:ascii="楷体" w:eastAsia="楷体" w:hAnsi="楷体"/>
          <w:sz w:val="32"/>
          <w:szCs w:val="32"/>
        </w:rPr>
      </w:r>
      <w:r w:rsidRPr="00B66CCE">
        <w:rPr>
          <w:rFonts w:ascii="楷体" w:eastAsia="楷体" w:hAnsi="楷体"/>
          <w:sz w:val="32"/>
          <w:szCs w:val="32"/>
        </w:rPr>
        <w:fldChar w:fldCharType="separate"/>
      </w:r>
      <w:r w:rsidRPr="00B66CCE">
        <w:rPr>
          <w:rFonts w:ascii="楷体" w:eastAsia="楷体" w:hAnsi="楷体"/>
          <w:sz w:val="32"/>
          <w:szCs w:val="32"/>
        </w:rPr>
        <w:t>3</w:t>
      </w:r>
      <w:r w:rsidRPr="00B66CCE">
        <w:rPr>
          <w:rFonts w:ascii="楷体" w:eastAsia="楷体" w:hAnsi="楷体"/>
          <w:sz w:val="32"/>
          <w:szCs w:val="32"/>
        </w:rPr>
        <w:fldChar w:fldCharType="end"/>
      </w:r>
    </w:p>
    <w:p w14:paraId="2C91FBB1" w14:textId="77777777" w:rsidR="006450BE" w:rsidRPr="00B66CCE" w:rsidRDefault="0023482D">
      <w:pPr>
        <w:pStyle w:val="TOC2"/>
        <w:tabs>
          <w:tab w:val="right" w:leader="dot" w:pos="8680"/>
        </w:tabs>
        <w:spacing w:line="276" w:lineRule="auto"/>
        <w:rPr>
          <w:rFonts w:ascii="楷体" w:eastAsia="楷体" w:hAnsi="楷体"/>
          <w:sz w:val="32"/>
          <w:szCs w:val="32"/>
        </w:rPr>
      </w:pPr>
      <w:r w:rsidRPr="00B66CCE">
        <w:rPr>
          <w:rFonts w:ascii="楷体" w:eastAsia="楷体" w:hAnsi="楷体"/>
          <w:sz w:val="32"/>
          <w:szCs w:val="32"/>
        </w:rPr>
        <w:t>（四）项目组织实施情况</w:t>
      </w:r>
      <w:r w:rsidRPr="00B66CCE">
        <w:rPr>
          <w:rFonts w:ascii="楷体" w:eastAsia="楷体" w:hAnsi="楷体"/>
          <w:sz w:val="32"/>
          <w:szCs w:val="32"/>
        </w:rPr>
        <w:tab/>
      </w:r>
      <w:r w:rsidRPr="00B66CCE">
        <w:rPr>
          <w:rFonts w:ascii="楷体" w:eastAsia="楷体" w:hAnsi="楷体"/>
          <w:sz w:val="32"/>
          <w:szCs w:val="32"/>
        </w:rPr>
        <w:fldChar w:fldCharType="begin"/>
      </w:r>
      <w:r w:rsidRPr="00B66CCE">
        <w:rPr>
          <w:rFonts w:ascii="楷体" w:eastAsia="楷体" w:hAnsi="楷体"/>
          <w:sz w:val="32"/>
          <w:szCs w:val="32"/>
        </w:rPr>
        <w:instrText xml:space="preserve"> PAGEREF _Toc109650651 \h </w:instrText>
      </w:r>
      <w:r w:rsidRPr="00B66CCE">
        <w:rPr>
          <w:rFonts w:ascii="楷体" w:eastAsia="楷体" w:hAnsi="楷体"/>
          <w:sz w:val="32"/>
          <w:szCs w:val="32"/>
        </w:rPr>
      </w:r>
      <w:r w:rsidRPr="00B66CCE">
        <w:rPr>
          <w:rFonts w:ascii="楷体" w:eastAsia="楷体" w:hAnsi="楷体"/>
          <w:sz w:val="32"/>
          <w:szCs w:val="32"/>
        </w:rPr>
        <w:fldChar w:fldCharType="separate"/>
      </w:r>
      <w:r w:rsidRPr="00B66CCE">
        <w:rPr>
          <w:rFonts w:ascii="楷体" w:eastAsia="楷体" w:hAnsi="楷体"/>
          <w:sz w:val="32"/>
          <w:szCs w:val="32"/>
        </w:rPr>
        <w:t>3</w:t>
      </w:r>
      <w:r w:rsidRPr="00B66CCE">
        <w:rPr>
          <w:rFonts w:ascii="楷体" w:eastAsia="楷体" w:hAnsi="楷体"/>
          <w:sz w:val="32"/>
          <w:szCs w:val="32"/>
        </w:rPr>
        <w:fldChar w:fldCharType="end"/>
      </w:r>
    </w:p>
    <w:p w14:paraId="7771798F" w14:textId="77777777" w:rsidR="006450BE" w:rsidRPr="00B66CCE" w:rsidRDefault="0023482D">
      <w:pPr>
        <w:pStyle w:val="TOC2"/>
        <w:tabs>
          <w:tab w:val="right" w:leader="dot" w:pos="8680"/>
        </w:tabs>
        <w:spacing w:line="276" w:lineRule="auto"/>
        <w:rPr>
          <w:rFonts w:ascii="楷体" w:eastAsia="楷体" w:hAnsi="楷体"/>
          <w:sz w:val="32"/>
          <w:szCs w:val="32"/>
        </w:rPr>
      </w:pPr>
      <w:r w:rsidRPr="00B66CCE">
        <w:rPr>
          <w:rFonts w:ascii="楷体" w:eastAsia="楷体" w:hAnsi="楷体"/>
          <w:sz w:val="32"/>
          <w:szCs w:val="32"/>
        </w:rPr>
        <w:t>（五）项目绩效情况</w:t>
      </w:r>
      <w:r w:rsidRPr="00B66CCE">
        <w:rPr>
          <w:rFonts w:ascii="楷体" w:eastAsia="楷体" w:hAnsi="楷体"/>
          <w:sz w:val="32"/>
          <w:szCs w:val="32"/>
        </w:rPr>
        <w:tab/>
      </w:r>
      <w:r w:rsidRPr="00B66CCE">
        <w:rPr>
          <w:rFonts w:ascii="楷体" w:eastAsia="楷体" w:hAnsi="楷体"/>
          <w:sz w:val="32"/>
          <w:szCs w:val="32"/>
        </w:rPr>
        <w:fldChar w:fldCharType="begin"/>
      </w:r>
      <w:r w:rsidRPr="00B66CCE">
        <w:rPr>
          <w:rFonts w:ascii="楷体" w:eastAsia="楷体" w:hAnsi="楷体"/>
          <w:sz w:val="32"/>
          <w:szCs w:val="32"/>
        </w:rPr>
        <w:instrText xml:space="preserve"> PAGEREF _Toc109650652 \h </w:instrText>
      </w:r>
      <w:r w:rsidRPr="00B66CCE">
        <w:rPr>
          <w:rFonts w:ascii="楷体" w:eastAsia="楷体" w:hAnsi="楷体"/>
          <w:sz w:val="32"/>
          <w:szCs w:val="32"/>
        </w:rPr>
      </w:r>
      <w:r w:rsidRPr="00B66CCE">
        <w:rPr>
          <w:rFonts w:ascii="楷体" w:eastAsia="楷体" w:hAnsi="楷体"/>
          <w:sz w:val="32"/>
          <w:szCs w:val="32"/>
        </w:rPr>
        <w:fldChar w:fldCharType="separate"/>
      </w:r>
      <w:r w:rsidRPr="00B66CCE">
        <w:rPr>
          <w:rFonts w:ascii="楷体" w:eastAsia="楷体" w:hAnsi="楷体"/>
          <w:sz w:val="32"/>
          <w:szCs w:val="32"/>
        </w:rPr>
        <w:t>4</w:t>
      </w:r>
      <w:r w:rsidRPr="00B66CCE">
        <w:rPr>
          <w:rFonts w:ascii="楷体" w:eastAsia="楷体" w:hAnsi="楷体"/>
          <w:sz w:val="32"/>
          <w:szCs w:val="32"/>
        </w:rPr>
        <w:fldChar w:fldCharType="end"/>
      </w:r>
    </w:p>
    <w:p w14:paraId="57514EFF" w14:textId="77777777" w:rsidR="006450BE" w:rsidRPr="00B66CCE" w:rsidRDefault="0023482D">
      <w:pPr>
        <w:pStyle w:val="TOC1"/>
        <w:tabs>
          <w:tab w:val="right" w:leader="dot" w:pos="8680"/>
        </w:tabs>
        <w:spacing w:line="276" w:lineRule="auto"/>
        <w:rPr>
          <w:rFonts w:ascii="黑体" w:eastAsia="黑体" w:hAnsi="黑体"/>
          <w:sz w:val="32"/>
          <w:szCs w:val="32"/>
        </w:rPr>
      </w:pPr>
      <w:r w:rsidRPr="00B66CCE">
        <w:rPr>
          <w:rFonts w:ascii="黑体" w:eastAsia="黑体" w:hAnsi="黑体"/>
          <w:sz w:val="32"/>
          <w:szCs w:val="32"/>
        </w:rPr>
        <w:t>二、评价结果</w:t>
      </w:r>
      <w:r w:rsidRPr="00B66CCE">
        <w:rPr>
          <w:rFonts w:ascii="黑体" w:eastAsia="黑体" w:hAnsi="黑体"/>
          <w:sz w:val="32"/>
          <w:szCs w:val="32"/>
        </w:rPr>
        <w:tab/>
      </w:r>
      <w:r w:rsidRPr="00B66CCE">
        <w:rPr>
          <w:rFonts w:ascii="黑体" w:eastAsia="黑体" w:hAnsi="黑体"/>
          <w:sz w:val="32"/>
          <w:szCs w:val="32"/>
        </w:rPr>
        <w:fldChar w:fldCharType="begin"/>
      </w:r>
      <w:r w:rsidRPr="00B66CCE">
        <w:rPr>
          <w:rFonts w:ascii="黑体" w:eastAsia="黑体" w:hAnsi="黑体"/>
          <w:sz w:val="32"/>
          <w:szCs w:val="32"/>
        </w:rPr>
        <w:instrText xml:space="preserve"> PAGEREF _Toc109650653 \h </w:instrText>
      </w:r>
      <w:r w:rsidRPr="00B66CCE">
        <w:rPr>
          <w:rFonts w:ascii="黑体" w:eastAsia="黑体" w:hAnsi="黑体"/>
          <w:sz w:val="32"/>
          <w:szCs w:val="32"/>
        </w:rPr>
      </w:r>
      <w:r w:rsidRPr="00B66CCE">
        <w:rPr>
          <w:rFonts w:ascii="黑体" w:eastAsia="黑体" w:hAnsi="黑体"/>
          <w:sz w:val="32"/>
          <w:szCs w:val="32"/>
        </w:rPr>
        <w:fldChar w:fldCharType="separate"/>
      </w:r>
      <w:r w:rsidRPr="00B66CCE">
        <w:rPr>
          <w:rFonts w:ascii="黑体" w:eastAsia="黑体" w:hAnsi="黑体"/>
          <w:sz w:val="32"/>
          <w:szCs w:val="32"/>
        </w:rPr>
        <w:t>5</w:t>
      </w:r>
      <w:r w:rsidRPr="00B66CCE">
        <w:rPr>
          <w:rFonts w:ascii="黑体" w:eastAsia="黑体" w:hAnsi="黑体"/>
          <w:sz w:val="32"/>
          <w:szCs w:val="32"/>
        </w:rPr>
        <w:fldChar w:fldCharType="end"/>
      </w:r>
    </w:p>
    <w:p w14:paraId="655063C7" w14:textId="77777777" w:rsidR="006450BE" w:rsidRPr="00B66CCE" w:rsidRDefault="0023482D">
      <w:pPr>
        <w:pStyle w:val="TOC2"/>
        <w:tabs>
          <w:tab w:val="right" w:leader="dot" w:pos="8680"/>
        </w:tabs>
        <w:spacing w:line="276" w:lineRule="auto"/>
        <w:rPr>
          <w:rFonts w:ascii="楷体" w:eastAsia="楷体" w:hAnsi="楷体"/>
          <w:sz w:val="32"/>
          <w:szCs w:val="32"/>
        </w:rPr>
      </w:pPr>
      <w:r w:rsidRPr="00B66CCE">
        <w:rPr>
          <w:rFonts w:ascii="楷体" w:eastAsia="楷体" w:hAnsi="楷体"/>
          <w:sz w:val="32"/>
          <w:szCs w:val="32"/>
        </w:rPr>
        <w:t>（一）评价原则与评价方法</w:t>
      </w:r>
      <w:r w:rsidRPr="00B66CCE">
        <w:rPr>
          <w:rFonts w:ascii="楷体" w:eastAsia="楷体" w:hAnsi="楷体"/>
          <w:sz w:val="32"/>
          <w:szCs w:val="32"/>
        </w:rPr>
        <w:tab/>
      </w:r>
      <w:r w:rsidRPr="00B66CCE">
        <w:rPr>
          <w:rFonts w:ascii="楷体" w:eastAsia="楷体" w:hAnsi="楷体"/>
          <w:sz w:val="32"/>
          <w:szCs w:val="32"/>
        </w:rPr>
        <w:fldChar w:fldCharType="begin"/>
      </w:r>
      <w:r w:rsidRPr="00B66CCE">
        <w:rPr>
          <w:rFonts w:ascii="楷体" w:eastAsia="楷体" w:hAnsi="楷体"/>
          <w:sz w:val="32"/>
          <w:szCs w:val="32"/>
        </w:rPr>
        <w:instrText xml:space="preserve"> PAGEREF _Toc109650654 \h </w:instrText>
      </w:r>
      <w:r w:rsidRPr="00B66CCE">
        <w:rPr>
          <w:rFonts w:ascii="楷体" w:eastAsia="楷体" w:hAnsi="楷体"/>
          <w:sz w:val="32"/>
          <w:szCs w:val="32"/>
        </w:rPr>
      </w:r>
      <w:r w:rsidRPr="00B66CCE">
        <w:rPr>
          <w:rFonts w:ascii="楷体" w:eastAsia="楷体" w:hAnsi="楷体"/>
          <w:sz w:val="32"/>
          <w:szCs w:val="32"/>
        </w:rPr>
        <w:fldChar w:fldCharType="separate"/>
      </w:r>
      <w:r w:rsidRPr="00B66CCE">
        <w:rPr>
          <w:rFonts w:ascii="楷体" w:eastAsia="楷体" w:hAnsi="楷体"/>
          <w:sz w:val="32"/>
          <w:szCs w:val="32"/>
        </w:rPr>
        <w:t>5</w:t>
      </w:r>
      <w:r w:rsidRPr="00B66CCE">
        <w:rPr>
          <w:rFonts w:ascii="楷体" w:eastAsia="楷体" w:hAnsi="楷体"/>
          <w:sz w:val="32"/>
          <w:szCs w:val="32"/>
        </w:rPr>
        <w:fldChar w:fldCharType="end"/>
      </w:r>
    </w:p>
    <w:p w14:paraId="5810ACA6" w14:textId="77777777" w:rsidR="006450BE" w:rsidRPr="00B66CCE" w:rsidRDefault="0023482D">
      <w:pPr>
        <w:pStyle w:val="TOC2"/>
        <w:tabs>
          <w:tab w:val="right" w:leader="dot" w:pos="8680"/>
        </w:tabs>
        <w:spacing w:line="276" w:lineRule="auto"/>
        <w:rPr>
          <w:rFonts w:ascii="楷体" w:eastAsia="楷体" w:hAnsi="楷体"/>
          <w:sz w:val="32"/>
          <w:szCs w:val="32"/>
        </w:rPr>
      </w:pPr>
      <w:r w:rsidRPr="00B66CCE">
        <w:rPr>
          <w:rFonts w:ascii="楷体" w:eastAsia="楷体" w:hAnsi="楷体"/>
          <w:sz w:val="32"/>
          <w:szCs w:val="32"/>
        </w:rPr>
        <w:t>（二）评价结果</w:t>
      </w:r>
      <w:r w:rsidRPr="00B66CCE">
        <w:rPr>
          <w:rFonts w:ascii="楷体" w:eastAsia="楷体" w:hAnsi="楷体"/>
          <w:sz w:val="32"/>
          <w:szCs w:val="32"/>
        </w:rPr>
        <w:tab/>
      </w:r>
      <w:r w:rsidRPr="00B66CCE">
        <w:rPr>
          <w:rFonts w:ascii="楷体" w:eastAsia="楷体" w:hAnsi="楷体"/>
          <w:sz w:val="32"/>
          <w:szCs w:val="32"/>
        </w:rPr>
        <w:fldChar w:fldCharType="begin"/>
      </w:r>
      <w:r w:rsidRPr="00B66CCE">
        <w:rPr>
          <w:rFonts w:ascii="楷体" w:eastAsia="楷体" w:hAnsi="楷体"/>
          <w:sz w:val="32"/>
          <w:szCs w:val="32"/>
        </w:rPr>
        <w:instrText xml:space="preserve"> PAGEREF _Toc109650655 \h </w:instrText>
      </w:r>
      <w:r w:rsidRPr="00B66CCE">
        <w:rPr>
          <w:rFonts w:ascii="楷体" w:eastAsia="楷体" w:hAnsi="楷体"/>
          <w:sz w:val="32"/>
          <w:szCs w:val="32"/>
        </w:rPr>
      </w:r>
      <w:r w:rsidRPr="00B66CCE">
        <w:rPr>
          <w:rFonts w:ascii="楷体" w:eastAsia="楷体" w:hAnsi="楷体"/>
          <w:sz w:val="32"/>
          <w:szCs w:val="32"/>
        </w:rPr>
        <w:fldChar w:fldCharType="separate"/>
      </w:r>
      <w:r w:rsidRPr="00B66CCE">
        <w:rPr>
          <w:rFonts w:ascii="楷体" w:eastAsia="楷体" w:hAnsi="楷体"/>
          <w:sz w:val="32"/>
          <w:szCs w:val="32"/>
        </w:rPr>
        <w:t>5</w:t>
      </w:r>
      <w:r w:rsidRPr="00B66CCE">
        <w:rPr>
          <w:rFonts w:ascii="楷体" w:eastAsia="楷体" w:hAnsi="楷体"/>
          <w:sz w:val="32"/>
          <w:szCs w:val="32"/>
        </w:rPr>
        <w:fldChar w:fldCharType="end"/>
      </w:r>
    </w:p>
    <w:p w14:paraId="12BC309A" w14:textId="77777777" w:rsidR="006450BE" w:rsidRPr="00B66CCE" w:rsidRDefault="0023482D">
      <w:pPr>
        <w:pStyle w:val="TOC1"/>
        <w:tabs>
          <w:tab w:val="right" w:leader="dot" w:pos="8680"/>
        </w:tabs>
        <w:spacing w:line="276" w:lineRule="auto"/>
        <w:rPr>
          <w:rFonts w:ascii="黑体" w:eastAsia="黑体" w:hAnsi="黑体"/>
          <w:sz w:val="32"/>
          <w:szCs w:val="32"/>
        </w:rPr>
      </w:pPr>
      <w:r w:rsidRPr="00B66CCE">
        <w:rPr>
          <w:rFonts w:ascii="黑体" w:eastAsia="黑体" w:hAnsi="黑体"/>
          <w:sz w:val="32"/>
          <w:szCs w:val="32"/>
        </w:rPr>
        <w:t>三、存在问题及建议</w:t>
      </w:r>
      <w:r w:rsidRPr="00B66CCE">
        <w:rPr>
          <w:rFonts w:ascii="黑体" w:eastAsia="黑体" w:hAnsi="黑体"/>
          <w:sz w:val="32"/>
          <w:szCs w:val="32"/>
        </w:rPr>
        <w:tab/>
      </w:r>
      <w:r w:rsidRPr="00B66CCE">
        <w:rPr>
          <w:rFonts w:ascii="黑体" w:eastAsia="黑体" w:hAnsi="黑体"/>
          <w:sz w:val="32"/>
          <w:szCs w:val="32"/>
        </w:rPr>
        <w:fldChar w:fldCharType="begin"/>
      </w:r>
      <w:r w:rsidRPr="00B66CCE">
        <w:rPr>
          <w:rFonts w:ascii="黑体" w:eastAsia="黑体" w:hAnsi="黑体"/>
          <w:sz w:val="32"/>
          <w:szCs w:val="32"/>
        </w:rPr>
        <w:instrText xml:space="preserve"> PAGEREF _Toc109650656 \h </w:instrText>
      </w:r>
      <w:r w:rsidRPr="00B66CCE">
        <w:rPr>
          <w:rFonts w:ascii="黑体" w:eastAsia="黑体" w:hAnsi="黑体"/>
          <w:sz w:val="32"/>
          <w:szCs w:val="32"/>
        </w:rPr>
      </w:r>
      <w:r w:rsidRPr="00B66CCE">
        <w:rPr>
          <w:rFonts w:ascii="黑体" w:eastAsia="黑体" w:hAnsi="黑体"/>
          <w:sz w:val="32"/>
          <w:szCs w:val="32"/>
        </w:rPr>
        <w:fldChar w:fldCharType="separate"/>
      </w:r>
      <w:r w:rsidRPr="00B66CCE">
        <w:rPr>
          <w:rFonts w:ascii="黑体" w:eastAsia="黑体" w:hAnsi="黑体"/>
          <w:sz w:val="32"/>
          <w:szCs w:val="32"/>
        </w:rPr>
        <w:t>6</w:t>
      </w:r>
      <w:r w:rsidRPr="00B66CCE">
        <w:rPr>
          <w:rFonts w:ascii="黑体" w:eastAsia="黑体" w:hAnsi="黑体"/>
          <w:sz w:val="32"/>
          <w:szCs w:val="32"/>
        </w:rPr>
        <w:fldChar w:fldCharType="end"/>
      </w:r>
    </w:p>
    <w:p w14:paraId="58A144AF" w14:textId="77777777" w:rsidR="006450BE" w:rsidRPr="00B66CCE" w:rsidRDefault="006450BE">
      <w:pPr>
        <w:sectPr w:rsidR="006450BE" w:rsidRPr="00B66CCE">
          <w:footerReference w:type="default" r:id="rId8"/>
          <w:pgSz w:w="11906" w:h="16838"/>
          <w:pgMar w:top="1440" w:right="1416" w:bottom="1440" w:left="1800" w:header="851" w:footer="992" w:gutter="0"/>
          <w:pgNumType w:start="1"/>
          <w:cols w:space="425"/>
          <w:docGrid w:type="lines" w:linePitch="312"/>
        </w:sectPr>
      </w:pPr>
    </w:p>
    <w:p w14:paraId="3DD4C504" w14:textId="77777777" w:rsidR="006450BE" w:rsidRPr="00B66CCE" w:rsidRDefault="006450BE"/>
    <w:p w14:paraId="26970352" w14:textId="77777777" w:rsidR="006450BE" w:rsidRPr="00B66CCE" w:rsidRDefault="0023482D">
      <w:pPr>
        <w:pStyle w:val="1"/>
        <w:spacing w:line="360" w:lineRule="auto"/>
        <w:ind w:left="3092" w:hangingChars="700" w:hanging="3092"/>
      </w:pPr>
      <w:r w:rsidRPr="00B66CCE">
        <w:fldChar w:fldCharType="end"/>
      </w:r>
      <w:r w:rsidRPr="00B66CCE">
        <w:rPr>
          <w:rFonts w:ascii="黑体" w:eastAsia="黑体" w:hAnsi="MS UI Gothic" w:hint="eastAsia"/>
          <w:b w:val="0"/>
          <w:bCs w:val="0"/>
          <w:noProof/>
          <w:sz w:val="36"/>
          <w:szCs w:val="36"/>
        </w:rPr>
        <w:drawing>
          <wp:inline distT="0" distB="0" distL="114300" distR="114300" wp14:anchorId="117C5E13" wp14:editId="6B31CC27">
            <wp:extent cx="5486400" cy="438150"/>
            <wp:effectExtent l="0" t="0" r="0" b="0"/>
            <wp:docPr id="4" name="图片 4" descr="微信图片_2020011016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110162634"/>
                    <pic:cNvPicPr>
                      <a:picLocks noChangeAspect="1"/>
                    </pic:cNvPicPr>
                  </pic:nvPicPr>
                  <pic:blipFill>
                    <a:blip r:embed="rId9"/>
                    <a:stretch>
                      <a:fillRect/>
                    </a:stretch>
                  </pic:blipFill>
                  <pic:spPr>
                    <a:xfrm>
                      <a:off x="0" y="0"/>
                      <a:ext cx="5542059" cy="442595"/>
                    </a:xfrm>
                    <a:prstGeom prst="rect">
                      <a:avLst/>
                    </a:prstGeom>
                  </pic:spPr>
                </pic:pic>
              </a:graphicData>
            </a:graphic>
          </wp:inline>
        </w:drawing>
      </w:r>
    </w:p>
    <w:p w14:paraId="0A67249A" w14:textId="77777777" w:rsidR="006450BE" w:rsidRPr="00B66CCE" w:rsidRDefault="0023482D">
      <w:pPr>
        <w:pStyle w:val="1"/>
        <w:spacing w:line="360" w:lineRule="auto"/>
        <w:ind w:left="3080" w:hangingChars="700" w:hanging="3080"/>
        <w:jc w:val="center"/>
        <w:rPr>
          <w:rFonts w:ascii="方正小标宋简体" w:eastAsia="方正小标宋简体" w:hAnsi="方正小标宋简体"/>
          <w:b w:val="0"/>
          <w:bCs w:val="0"/>
        </w:rPr>
      </w:pPr>
      <w:r w:rsidRPr="00B66CCE">
        <w:rPr>
          <w:rFonts w:ascii="方正小标宋简体" w:eastAsia="方正小标宋简体" w:hAnsi="方正小标宋简体" w:hint="eastAsia"/>
          <w:b w:val="0"/>
          <w:bCs w:val="0"/>
        </w:rPr>
        <w:t>2020</w:t>
      </w:r>
      <w:r w:rsidRPr="00B66CCE">
        <w:rPr>
          <w:rFonts w:ascii="方正小标宋简体" w:eastAsia="方正小标宋简体" w:hAnsi="方正小标宋简体" w:hint="eastAsia"/>
          <w:b w:val="0"/>
          <w:bCs w:val="0"/>
        </w:rPr>
        <w:t>年度惠来县特困人员补助救助项目</w:t>
      </w:r>
      <w:bookmarkEnd w:id="0"/>
    </w:p>
    <w:p w14:paraId="31F3EA2F" w14:textId="77777777" w:rsidR="006450BE" w:rsidRPr="00B66CCE" w:rsidRDefault="0023482D">
      <w:pPr>
        <w:pStyle w:val="1"/>
        <w:spacing w:line="360" w:lineRule="auto"/>
        <w:ind w:left="3080" w:hangingChars="700" w:hanging="3080"/>
        <w:jc w:val="center"/>
        <w:rPr>
          <w:rFonts w:ascii="方正小标宋简体" w:eastAsia="方正小标宋简体" w:hAnsi="方正小标宋简体"/>
          <w:b w:val="0"/>
          <w:bCs w:val="0"/>
        </w:rPr>
      </w:pPr>
      <w:r w:rsidRPr="00B66CCE">
        <w:rPr>
          <w:rFonts w:ascii="方正小标宋简体" w:eastAsia="方正小标宋简体" w:hAnsi="方正小标宋简体" w:hint="eastAsia"/>
          <w:b w:val="0"/>
          <w:bCs w:val="0"/>
        </w:rPr>
        <w:t>绩效评价报告</w:t>
      </w:r>
    </w:p>
    <w:p w14:paraId="756BD66D" w14:textId="77777777" w:rsidR="006450BE" w:rsidRPr="00B66CCE" w:rsidRDefault="0023482D">
      <w:pPr>
        <w:spacing w:line="360" w:lineRule="auto"/>
        <w:ind w:firstLineChars="200" w:firstLine="640"/>
        <w:jc w:val="right"/>
        <w:rPr>
          <w:rFonts w:ascii="仿宋" w:eastAsia="仿宋" w:hAnsi="仿宋"/>
          <w:sz w:val="32"/>
          <w:szCs w:val="32"/>
        </w:rPr>
      </w:pPr>
      <w:r w:rsidRPr="00B66CCE">
        <w:rPr>
          <w:rFonts w:ascii="仿宋" w:eastAsia="仿宋" w:hAnsi="仿宋" w:hint="eastAsia"/>
          <w:sz w:val="32"/>
          <w:szCs w:val="32"/>
        </w:rPr>
        <w:t>报告文号：成鹏</w:t>
      </w:r>
      <w:r w:rsidRPr="00B66CCE">
        <w:rPr>
          <w:rFonts w:ascii="仿宋" w:eastAsia="仿宋" w:hAnsi="仿宋" w:cs="仿宋_GB2312" w:hint="eastAsia"/>
          <w:sz w:val="32"/>
          <w:szCs w:val="32"/>
        </w:rPr>
        <w:t>〔</w:t>
      </w:r>
      <w:r w:rsidRPr="00B66CCE">
        <w:rPr>
          <w:rFonts w:ascii="仿宋" w:eastAsia="仿宋" w:hAnsi="仿宋" w:cs="仿宋_GB2312" w:hint="eastAsia"/>
          <w:sz w:val="32"/>
          <w:szCs w:val="32"/>
        </w:rPr>
        <w:t>2022</w:t>
      </w:r>
      <w:r w:rsidRPr="00B66CCE">
        <w:rPr>
          <w:rFonts w:ascii="仿宋" w:eastAsia="仿宋" w:hAnsi="仿宋" w:cs="仿宋_GB2312" w:hint="eastAsia"/>
          <w:sz w:val="32"/>
          <w:szCs w:val="32"/>
        </w:rPr>
        <w:t>〕</w:t>
      </w:r>
      <w:r w:rsidRPr="00B66CCE">
        <w:rPr>
          <w:rFonts w:ascii="仿宋" w:eastAsia="仿宋" w:hAnsi="仿宋" w:hint="eastAsia"/>
          <w:sz w:val="32"/>
          <w:szCs w:val="32"/>
        </w:rPr>
        <w:t>第</w:t>
      </w:r>
      <w:r w:rsidRPr="00B66CCE">
        <w:rPr>
          <w:rFonts w:ascii="仿宋" w:eastAsia="仿宋" w:hAnsi="仿宋" w:hint="eastAsia"/>
          <w:sz w:val="32"/>
          <w:szCs w:val="32"/>
        </w:rPr>
        <w:t>0018</w:t>
      </w:r>
      <w:r w:rsidRPr="00B66CCE">
        <w:rPr>
          <w:rFonts w:ascii="仿宋" w:eastAsia="仿宋" w:hAnsi="仿宋" w:hint="eastAsia"/>
          <w:sz w:val="32"/>
          <w:szCs w:val="32"/>
        </w:rPr>
        <w:t>号</w:t>
      </w:r>
    </w:p>
    <w:p w14:paraId="450E0D22" w14:textId="77777777" w:rsidR="006450BE" w:rsidRPr="00B66CCE" w:rsidRDefault="006450BE">
      <w:pPr>
        <w:pStyle w:val="af0"/>
        <w:ind w:firstLineChars="200" w:firstLine="640"/>
      </w:pPr>
    </w:p>
    <w:p w14:paraId="471A9CCE" w14:textId="77777777" w:rsidR="006450BE" w:rsidRPr="00B66CCE" w:rsidRDefault="0023482D">
      <w:pPr>
        <w:pStyle w:val="af0"/>
        <w:ind w:firstLineChars="200" w:firstLine="640"/>
      </w:pPr>
      <w:r w:rsidRPr="00B66CCE">
        <w:rPr>
          <w:rFonts w:hint="eastAsia"/>
        </w:rPr>
        <w:t>我们接受惠来县财政局委托，对</w:t>
      </w:r>
      <w:r w:rsidRPr="00B66CCE">
        <w:rPr>
          <w:rFonts w:hint="eastAsia"/>
        </w:rPr>
        <w:t>2020</w:t>
      </w:r>
      <w:r w:rsidRPr="00B66CCE">
        <w:rPr>
          <w:rFonts w:hint="eastAsia"/>
        </w:rPr>
        <w:t>年度</w:t>
      </w:r>
      <w:bookmarkStart w:id="1" w:name="_Hlk91249514"/>
      <w:bookmarkStart w:id="2" w:name="_Hlk91234992"/>
      <w:r w:rsidRPr="00B66CCE">
        <w:rPr>
          <w:rFonts w:hint="eastAsia"/>
        </w:rPr>
        <w:t>特困人员补助救助</w:t>
      </w:r>
      <w:bookmarkEnd w:id="1"/>
      <w:r w:rsidRPr="00B66CCE">
        <w:rPr>
          <w:rFonts w:hint="eastAsia"/>
        </w:rPr>
        <w:t>项目</w:t>
      </w:r>
      <w:bookmarkEnd w:id="2"/>
      <w:r w:rsidRPr="00B66CCE">
        <w:rPr>
          <w:rFonts w:hint="eastAsia"/>
        </w:rPr>
        <w:t>进行了绩效评价。保证所提供资料的真实性、完整性是惠来县民政局和项目相关单位的责任。我们的责任是在执行有关程序的基础上，根据绩效评价办法有关规定对项目做出客观的评价。</w:t>
      </w:r>
    </w:p>
    <w:p w14:paraId="62FE614D" w14:textId="77777777" w:rsidR="006450BE" w:rsidRPr="00B66CCE" w:rsidRDefault="0023482D">
      <w:pPr>
        <w:ind w:firstLineChars="200" w:firstLine="640"/>
        <w:rPr>
          <w:rFonts w:ascii="仿宋" w:eastAsia="仿宋" w:hAnsi="仿宋"/>
          <w:sz w:val="32"/>
          <w:szCs w:val="32"/>
        </w:rPr>
      </w:pPr>
      <w:r w:rsidRPr="00B66CCE">
        <w:rPr>
          <w:rFonts w:ascii="仿宋" w:eastAsia="仿宋" w:hAnsi="仿宋" w:hint="eastAsia"/>
          <w:sz w:val="32"/>
          <w:szCs w:val="32"/>
        </w:rPr>
        <w:t>我们的评价工作是依据《会计师事务所财政支出绩效评价业务指引》和《项目支出绩效评价管理办法》（财预</w:t>
      </w:r>
      <w:r w:rsidRPr="00B66CCE">
        <w:rPr>
          <w:rFonts w:ascii="仿宋" w:eastAsia="仿宋" w:hAnsi="仿宋" w:cs="仿宋_GB2312" w:hint="eastAsia"/>
          <w:color w:val="000000"/>
          <w:sz w:val="32"/>
          <w:szCs w:val="32"/>
        </w:rPr>
        <w:t>〔</w:t>
      </w:r>
      <w:r w:rsidRPr="00B66CCE">
        <w:rPr>
          <w:rFonts w:ascii="仿宋" w:eastAsia="仿宋" w:hAnsi="仿宋" w:hint="eastAsia"/>
          <w:sz w:val="32"/>
          <w:szCs w:val="32"/>
        </w:rPr>
        <w:t>2020</w:t>
      </w:r>
      <w:r w:rsidRPr="00B66CCE">
        <w:rPr>
          <w:rFonts w:ascii="仿宋" w:eastAsia="仿宋" w:hAnsi="仿宋" w:cs="仿宋_GB2312" w:hint="eastAsia"/>
          <w:color w:val="000000"/>
          <w:sz w:val="32"/>
          <w:szCs w:val="32"/>
        </w:rPr>
        <w:t>〕</w:t>
      </w:r>
      <w:r w:rsidRPr="00B66CCE">
        <w:rPr>
          <w:rFonts w:ascii="仿宋" w:eastAsia="仿宋" w:hAnsi="仿宋" w:hint="eastAsia"/>
          <w:sz w:val="32"/>
          <w:szCs w:val="32"/>
        </w:rPr>
        <w:t>10</w:t>
      </w:r>
      <w:r w:rsidRPr="00B66CCE">
        <w:rPr>
          <w:rFonts w:ascii="仿宋" w:eastAsia="仿宋" w:hAnsi="仿宋" w:hint="eastAsia"/>
          <w:sz w:val="32"/>
          <w:szCs w:val="32"/>
        </w:rPr>
        <w:t>号）文件进行的。在评价过程中，我们对项目进行了实地核查、现场走访，审阅了相关文</w:t>
      </w:r>
      <w:r w:rsidRPr="00B66CCE">
        <w:rPr>
          <w:rFonts w:ascii="仿宋" w:eastAsia="仿宋" w:hAnsi="仿宋" w:hint="eastAsia"/>
          <w:sz w:val="32"/>
          <w:szCs w:val="32"/>
        </w:rPr>
        <w:t>件、检查了相关财务记录并查阅了其他相关资料，为出具科学、合理的绩效评价意见和建议夯实了基础。现将评价内容报告如下：</w:t>
      </w:r>
    </w:p>
    <w:p w14:paraId="53E7B857" w14:textId="77777777" w:rsidR="006450BE" w:rsidRPr="00B66CCE" w:rsidRDefault="0023482D">
      <w:pPr>
        <w:pStyle w:val="af2"/>
        <w:ind w:firstLineChars="200" w:firstLine="640"/>
      </w:pPr>
      <w:bookmarkStart w:id="3" w:name="_Toc109650647"/>
      <w:r w:rsidRPr="00B66CCE">
        <w:rPr>
          <w:rFonts w:hint="eastAsia"/>
        </w:rPr>
        <w:t>一、项目基本情况</w:t>
      </w:r>
      <w:bookmarkEnd w:id="3"/>
    </w:p>
    <w:p w14:paraId="7B97B49F" w14:textId="77777777" w:rsidR="006450BE" w:rsidRPr="00B66CCE" w:rsidRDefault="0023482D">
      <w:pPr>
        <w:pStyle w:val="af4"/>
        <w:ind w:firstLineChars="200" w:firstLine="640"/>
      </w:pPr>
      <w:bookmarkStart w:id="4" w:name="_Toc109650648"/>
      <w:r w:rsidRPr="00B66CCE">
        <w:rPr>
          <w:rFonts w:hint="eastAsia"/>
        </w:rPr>
        <w:t>（一）项目概况</w:t>
      </w:r>
      <w:bookmarkEnd w:id="4"/>
    </w:p>
    <w:p w14:paraId="05F941DC" w14:textId="77777777" w:rsidR="006450BE" w:rsidRPr="00B66CCE" w:rsidRDefault="0023482D">
      <w:pPr>
        <w:pStyle w:val="af0"/>
        <w:ind w:firstLineChars="200" w:firstLine="640"/>
      </w:pPr>
      <w:r w:rsidRPr="00B66CCE">
        <w:rPr>
          <w:rFonts w:hint="eastAsia"/>
        </w:rPr>
        <w:lastRenderedPageBreak/>
        <w:t>特困人员救助供养制度是社会救助体系中的重要组成部分，是解决城乡特困供养人员突出困难，保障特困供养人员基本需求的一项保民生、促公平的</w:t>
      </w:r>
      <w:r w:rsidRPr="00B66CCE">
        <w:rPr>
          <w:rFonts w:hint="eastAsia"/>
        </w:rPr>
        <w:t>托</w:t>
      </w:r>
      <w:r w:rsidRPr="00B66CCE">
        <w:rPr>
          <w:rFonts w:hint="eastAsia"/>
        </w:rPr>
        <w:t>底线、基础性制度安排。</w:t>
      </w:r>
      <w:r w:rsidRPr="00B66CCE">
        <w:rPr>
          <w:rFonts w:hint="eastAsia"/>
        </w:rPr>
        <w:t>惠来县民政局紧扣全县脱贫攻坚工作大局，找准定位，充分发挥兜底保障作用，不断完善救助制度，及时发放供养金，保证办理程序公平、公正、公开，持续推进政策宣传，群众政策知晓度逐步提高，项目满意度逐步得到提升。</w:t>
      </w:r>
    </w:p>
    <w:p w14:paraId="46603F68" w14:textId="77777777" w:rsidR="006450BE" w:rsidRPr="00B66CCE" w:rsidRDefault="0023482D">
      <w:pPr>
        <w:pStyle w:val="af0"/>
        <w:ind w:firstLineChars="200" w:firstLine="640"/>
      </w:pPr>
      <w:r w:rsidRPr="00B66CCE">
        <w:rPr>
          <w:rFonts w:hint="eastAsia"/>
        </w:rPr>
        <w:t>202</w:t>
      </w:r>
      <w:r w:rsidRPr="00B66CCE">
        <w:rPr>
          <w:rFonts w:hint="eastAsia"/>
        </w:rPr>
        <w:t>0</w:t>
      </w:r>
      <w:r w:rsidRPr="00B66CCE">
        <w:rPr>
          <w:rFonts w:hint="eastAsia"/>
        </w:rPr>
        <w:t>年度惠来县特困供养对象共</w:t>
      </w:r>
      <w:r w:rsidRPr="00B66CCE">
        <w:rPr>
          <w:rFonts w:hint="eastAsia"/>
        </w:rPr>
        <w:t>2209</w:t>
      </w:r>
      <w:r w:rsidRPr="00B66CCE">
        <w:rPr>
          <w:rFonts w:hint="eastAsia"/>
        </w:rPr>
        <w:t>人，其中：城镇特困供养对象</w:t>
      </w:r>
      <w:r w:rsidRPr="00B66CCE">
        <w:rPr>
          <w:rFonts w:hint="eastAsia"/>
        </w:rPr>
        <w:t>150</w:t>
      </w:r>
      <w:r w:rsidRPr="00B66CCE">
        <w:rPr>
          <w:rFonts w:hint="eastAsia"/>
        </w:rPr>
        <w:t>人，每人月供养标准</w:t>
      </w:r>
      <w:r w:rsidRPr="00B66CCE">
        <w:rPr>
          <w:rFonts w:hint="eastAsia"/>
        </w:rPr>
        <w:t>1269</w:t>
      </w:r>
      <w:r w:rsidRPr="00B66CCE">
        <w:rPr>
          <w:rFonts w:hint="eastAsia"/>
        </w:rPr>
        <w:t>元；农村特困供养对象</w:t>
      </w:r>
      <w:r w:rsidRPr="00B66CCE">
        <w:rPr>
          <w:rFonts w:hint="eastAsia"/>
        </w:rPr>
        <w:t>2059</w:t>
      </w:r>
      <w:r w:rsidRPr="00B66CCE">
        <w:rPr>
          <w:rFonts w:hint="eastAsia"/>
        </w:rPr>
        <w:t>人，每人月供养标准</w:t>
      </w:r>
      <w:r w:rsidRPr="00B66CCE">
        <w:rPr>
          <w:rFonts w:hint="eastAsia"/>
        </w:rPr>
        <w:t>920</w:t>
      </w:r>
      <w:r w:rsidRPr="00B66CCE">
        <w:rPr>
          <w:rFonts w:hint="eastAsia"/>
        </w:rPr>
        <w:t>元。</w:t>
      </w:r>
    </w:p>
    <w:p w14:paraId="756D523E" w14:textId="77777777" w:rsidR="006450BE" w:rsidRPr="00B66CCE" w:rsidRDefault="0023482D">
      <w:pPr>
        <w:pStyle w:val="af4"/>
        <w:ind w:firstLineChars="200" w:firstLine="640"/>
      </w:pPr>
      <w:bookmarkStart w:id="5" w:name="_Toc109650649"/>
      <w:r w:rsidRPr="00B66CCE">
        <w:rPr>
          <w:rFonts w:hint="eastAsia"/>
        </w:rPr>
        <w:t>（二）项目实施管理程序</w:t>
      </w:r>
      <w:bookmarkEnd w:id="5"/>
    </w:p>
    <w:p w14:paraId="7DF91014" w14:textId="77777777" w:rsidR="006450BE" w:rsidRPr="00B66CCE" w:rsidRDefault="0023482D">
      <w:pPr>
        <w:pStyle w:val="af0"/>
        <w:ind w:firstLineChars="200" w:firstLine="640"/>
      </w:pPr>
      <w:r w:rsidRPr="00B66CCE">
        <w:rPr>
          <w:rFonts w:hint="eastAsia"/>
        </w:rPr>
        <w:t>1</w:t>
      </w:r>
      <w:r w:rsidRPr="00B66CCE">
        <w:rPr>
          <w:rFonts w:hint="eastAsia"/>
        </w:rPr>
        <w:t>、由本人（申请人）向户籍所在地的村（居）委会提出书面申请，并提供相关证件手续；</w:t>
      </w:r>
    </w:p>
    <w:p w14:paraId="56EABD56" w14:textId="77777777" w:rsidR="006450BE" w:rsidRPr="00B66CCE" w:rsidRDefault="0023482D">
      <w:pPr>
        <w:pStyle w:val="af0"/>
        <w:ind w:firstLineChars="200" w:firstLine="640"/>
      </w:pPr>
      <w:r w:rsidRPr="00B66CCE">
        <w:rPr>
          <w:rFonts w:hint="eastAsia"/>
        </w:rPr>
        <w:t>2</w:t>
      </w:r>
      <w:r w:rsidRPr="00B66CCE">
        <w:rPr>
          <w:rFonts w:hint="eastAsia"/>
        </w:rPr>
        <w:t>、由镇（场）人民政府对申请人所提供的信息真实情况、经济情况是否属实进行复核。对符合认定标准的，出具受理通知书，对申请人家庭实际情况逐一入户调查核实，提出初审意见，并将调查核实结果在村（居）委会的村务公开栏进行公示，公示期为</w:t>
      </w:r>
      <w:r w:rsidRPr="00B66CCE">
        <w:rPr>
          <w:rFonts w:hint="eastAsia"/>
        </w:rPr>
        <w:t>7</w:t>
      </w:r>
      <w:r w:rsidRPr="00B66CCE">
        <w:rPr>
          <w:rFonts w:hint="eastAsia"/>
        </w:rPr>
        <w:t>日；</w:t>
      </w:r>
    </w:p>
    <w:p w14:paraId="066E5FA4" w14:textId="77777777" w:rsidR="006450BE" w:rsidRPr="00B66CCE" w:rsidRDefault="0023482D">
      <w:pPr>
        <w:pStyle w:val="af0"/>
        <w:ind w:firstLineChars="200" w:firstLine="640"/>
      </w:pPr>
      <w:r w:rsidRPr="00B66CCE">
        <w:rPr>
          <w:rFonts w:hint="eastAsia"/>
        </w:rPr>
        <w:t>3</w:t>
      </w:r>
      <w:r w:rsidRPr="00B66CCE">
        <w:rPr>
          <w:rFonts w:hint="eastAsia"/>
        </w:rPr>
        <w:t>、公示期满后无异议的，</w:t>
      </w:r>
      <w:r w:rsidRPr="00B66CCE">
        <w:rPr>
          <w:rFonts w:hint="eastAsia"/>
        </w:rPr>
        <w:t>由镇（场）社会事务办将相关材料报送县民政局；</w:t>
      </w:r>
    </w:p>
    <w:p w14:paraId="5357D06C" w14:textId="77777777" w:rsidR="006450BE" w:rsidRPr="00B66CCE" w:rsidRDefault="0023482D">
      <w:pPr>
        <w:pStyle w:val="af0"/>
        <w:ind w:firstLineChars="200" w:firstLine="640"/>
      </w:pPr>
      <w:r w:rsidRPr="00B66CCE">
        <w:rPr>
          <w:rFonts w:hint="eastAsia"/>
        </w:rPr>
        <w:t>4</w:t>
      </w:r>
      <w:r w:rsidRPr="00B66CCE">
        <w:rPr>
          <w:rFonts w:hint="eastAsia"/>
        </w:rPr>
        <w:t>、县民政局对申请的对象，逐一入户调查，对符合特困人员认定标准的予以办理手续，并发放“特困人员救助供养证”；</w:t>
      </w:r>
    </w:p>
    <w:p w14:paraId="6AE3A1C3" w14:textId="77777777" w:rsidR="006450BE" w:rsidRPr="00B66CCE" w:rsidRDefault="0023482D">
      <w:pPr>
        <w:pStyle w:val="af0"/>
        <w:ind w:firstLineChars="200" w:firstLine="640"/>
      </w:pPr>
      <w:r w:rsidRPr="00B66CCE">
        <w:rPr>
          <w:rFonts w:hint="eastAsia"/>
        </w:rPr>
        <w:lastRenderedPageBreak/>
        <w:t>5</w:t>
      </w:r>
      <w:r w:rsidRPr="00B66CCE">
        <w:rPr>
          <w:rFonts w:hint="eastAsia"/>
        </w:rPr>
        <w:t>、县民政局委托信用社逐月按时将供养金划入供养对象的个人银行账号；</w:t>
      </w:r>
    </w:p>
    <w:p w14:paraId="39C1B093" w14:textId="77777777" w:rsidR="006450BE" w:rsidRPr="00B66CCE" w:rsidRDefault="0023482D">
      <w:pPr>
        <w:pStyle w:val="af0"/>
        <w:ind w:firstLineChars="200" w:firstLine="640"/>
      </w:pPr>
      <w:r w:rsidRPr="00B66CCE">
        <w:rPr>
          <w:rFonts w:hint="eastAsia"/>
        </w:rPr>
        <w:t>6</w:t>
      </w:r>
      <w:r w:rsidRPr="00B66CCE">
        <w:rPr>
          <w:rFonts w:hint="eastAsia"/>
        </w:rPr>
        <w:t>、县民政局业务股室切实加强对救助对象的动态管理，定期或不定期组织人力深入各地开展核查，对不符合条件的及时终止救助，对符合条件的及时按政策规定纳入救助，做到主动发现，精准救助。</w:t>
      </w:r>
    </w:p>
    <w:p w14:paraId="569FBF42" w14:textId="77777777" w:rsidR="006450BE" w:rsidRPr="00B66CCE" w:rsidRDefault="0023482D">
      <w:pPr>
        <w:pStyle w:val="af4"/>
        <w:ind w:firstLineChars="200" w:firstLine="640"/>
      </w:pPr>
      <w:bookmarkStart w:id="6" w:name="_Toc109650650"/>
      <w:r w:rsidRPr="00B66CCE">
        <w:rPr>
          <w:rFonts w:hint="eastAsia"/>
        </w:rPr>
        <w:t>（三）项目资金来源及使用情况</w:t>
      </w:r>
      <w:bookmarkEnd w:id="6"/>
    </w:p>
    <w:p w14:paraId="4979283C" w14:textId="77777777" w:rsidR="006450BE" w:rsidRPr="00B66CCE" w:rsidRDefault="0023482D">
      <w:pPr>
        <w:pStyle w:val="af0"/>
        <w:ind w:firstLineChars="200" w:firstLine="640"/>
      </w:pPr>
      <w:r w:rsidRPr="00B66CCE">
        <w:rPr>
          <w:rFonts w:hint="eastAsia"/>
        </w:rPr>
        <w:t>1</w:t>
      </w:r>
      <w:r w:rsidRPr="00B66CCE">
        <w:rPr>
          <w:rFonts w:hint="eastAsia"/>
        </w:rPr>
        <w:t>、</w:t>
      </w:r>
      <w:r w:rsidRPr="00B66CCE">
        <w:rPr>
          <w:rFonts w:hint="eastAsia"/>
        </w:rPr>
        <w:t>2020</w:t>
      </w:r>
      <w:r w:rsidRPr="00B66CCE">
        <w:rPr>
          <w:rFonts w:hint="eastAsia"/>
        </w:rPr>
        <w:t>年特困人员供养金预算安排情况。</w:t>
      </w:r>
    </w:p>
    <w:p w14:paraId="480956CB" w14:textId="77777777" w:rsidR="006450BE" w:rsidRPr="00B66CCE" w:rsidRDefault="0023482D">
      <w:pPr>
        <w:pStyle w:val="af0"/>
        <w:ind w:firstLineChars="200" w:firstLine="640"/>
      </w:pPr>
      <w:r w:rsidRPr="00B66CCE">
        <w:rPr>
          <w:rFonts w:hint="eastAsia"/>
        </w:rPr>
        <w:t>《广东省财政厅关于提前下达省财政</w:t>
      </w:r>
      <w:r w:rsidRPr="00B66CCE">
        <w:rPr>
          <w:rFonts w:hint="eastAsia"/>
        </w:rPr>
        <w:t>20</w:t>
      </w:r>
      <w:r w:rsidRPr="00B66CCE">
        <w:rPr>
          <w:rFonts w:hint="eastAsia"/>
        </w:rPr>
        <w:t>20</w:t>
      </w:r>
      <w:r w:rsidRPr="00B66CCE">
        <w:rPr>
          <w:rFonts w:hint="eastAsia"/>
        </w:rPr>
        <w:t>年困难群众救助补助预算资金的通知》（</w:t>
      </w:r>
      <w:proofErr w:type="gramStart"/>
      <w:r w:rsidRPr="00B66CCE">
        <w:rPr>
          <w:rFonts w:hint="eastAsia"/>
        </w:rPr>
        <w:t>粤财社</w:t>
      </w:r>
      <w:r w:rsidRPr="00B66CCE">
        <w:rPr>
          <w:rFonts w:asciiTheme="minorEastAsia" w:hAnsiTheme="minorEastAsia" w:cs="仿宋_GB2312" w:hint="eastAsia"/>
          <w:sz w:val="30"/>
          <w:szCs w:val="30"/>
        </w:rPr>
        <w:t>〔</w:t>
      </w:r>
      <w:r w:rsidRPr="00B66CCE">
        <w:rPr>
          <w:rFonts w:asciiTheme="minorEastAsia" w:hAnsiTheme="minorEastAsia" w:cs="仿宋_GB2312" w:hint="eastAsia"/>
          <w:sz w:val="30"/>
          <w:szCs w:val="30"/>
        </w:rPr>
        <w:t>2</w:t>
      </w:r>
      <w:r w:rsidRPr="00B66CCE">
        <w:rPr>
          <w:rFonts w:asciiTheme="minorEastAsia" w:hAnsiTheme="minorEastAsia" w:cs="仿宋_GB2312"/>
          <w:sz w:val="30"/>
          <w:szCs w:val="30"/>
        </w:rPr>
        <w:t>019</w:t>
      </w:r>
      <w:r w:rsidRPr="00B66CCE">
        <w:rPr>
          <w:rFonts w:asciiTheme="minorEastAsia" w:hAnsiTheme="minorEastAsia" w:cs="仿宋_GB2312" w:hint="eastAsia"/>
          <w:sz w:val="30"/>
          <w:szCs w:val="30"/>
        </w:rPr>
        <w:t>〕</w:t>
      </w:r>
      <w:proofErr w:type="gramEnd"/>
      <w:r w:rsidRPr="00B66CCE">
        <w:rPr>
          <w:rFonts w:hint="eastAsia"/>
        </w:rPr>
        <w:t>238</w:t>
      </w:r>
      <w:r w:rsidRPr="00B66CCE">
        <w:rPr>
          <w:rFonts w:hint="eastAsia"/>
        </w:rPr>
        <w:t>号），分配下达特困人员供养金</w:t>
      </w:r>
      <w:r w:rsidRPr="00B66CCE">
        <w:t>3048</w:t>
      </w:r>
      <w:r w:rsidRPr="00B66CCE">
        <w:rPr>
          <w:rFonts w:hint="eastAsia"/>
        </w:rPr>
        <w:t>万，县级财政预算配套安排特困人员供养金</w:t>
      </w:r>
      <w:r w:rsidRPr="00B66CCE">
        <w:t>1009</w:t>
      </w:r>
      <w:r w:rsidRPr="00B66CCE">
        <w:rPr>
          <w:rFonts w:hint="eastAsia"/>
        </w:rPr>
        <w:t>万。</w:t>
      </w:r>
    </w:p>
    <w:p w14:paraId="29539126" w14:textId="77777777" w:rsidR="006450BE" w:rsidRPr="00B66CCE" w:rsidRDefault="0023482D">
      <w:pPr>
        <w:pStyle w:val="af0"/>
        <w:ind w:firstLineChars="200" w:firstLine="640"/>
      </w:pPr>
      <w:r w:rsidRPr="00B66CCE">
        <w:rPr>
          <w:rFonts w:hint="eastAsia"/>
        </w:rPr>
        <w:t>2</w:t>
      </w:r>
      <w:r w:rsidRPr="00B66CCE">
        <w:rPr>
          <w:rFonts w:hint="eastAsia"/>
        </w:rPr>
        <w:t>、</w:t>
      </w:r>
      <w:r w:rsidRPr="00B66CCE">
        <w:rPr>
          <w:rFonts w:hint="eastAsia"/>
        </w:rPr>
        <w:t>2020</w:t>
      </w:r>
      <w:r w:rsidRPr="00B66CCE">
        <w:rPr>
          <w:rFonts w:hint="eastAsia"/>
        </w:rPr>
        <w:t>年特困人员供养金收入支出情况。</w:t>
      </w:r>
    </w:p>
    <w:p w14:paraId="05F42BC3" w14:textId="77777777" w:rsidR="006450BE" w:rsidRPr="00B66CCE" w:rsidRDefault="0023482D">
      <w:pPr>
        <w:pStyle w:val="af0"/>
        <w:ind w:firstLineChars="200" w:firstLine="640"/>
      </w:pPr>
      <w:bookmarkStart w:id="7" w:name="_Hlk91497901"/>
      <w:r w:rsidRPr="00B66CCE">
        <w:rPr>
          <w:rFonts w:hint="eastAsia"/>
        </w:rPr>
        <w:t>2020</w:t>
      </w:r>
      <w:r w:rsidRPr="00B66CCE">
        <w:rPr>
          <w:rFonts w:hint="eastAsia"/>
        </w:rPr>
        <w:t>年特困人员供养金年初结余</w:t>
      </w:r>
      <w:r w:rsidRPr="00B66CCE">
        <w:rPr>
          <w:rFonts w:hint="eastAsia"/>
        </w:rPr>
        <w:t>244.75</w:t>
      </w:r>
      <w:r w:rsidRPr="00B66CCE">
        <w:rPr>
          <w:rFonts w:hint="eastAsia"/>
        </w:rPr>
        <w:t>万</w:t>
      </w:r>
      <w:bookmarkEnd w:id="7"/>
      <w:r w:rsidRPr="00B66CCE">
        <w:rPr>
          <w:rFonts w:hint="eastAsia"/>
        </w:rPr>
        <w:t>，本年收入</w:t>
      </w:r>
      <w:r w:rsidRPr="00B66CCE">
        <w:rPr>
          <w:rFonts w:hint="eastAsia"/>
        </w:rPr>
        <w:t>2861.17</w:t>
      </w:r>
      <w:r w:rsidRPr="00B66CCE">
        <w:rPr>
          <w:rFonts w:hint="eastAsia"/>
        </w:rPr>
        <w:t>万，支出</w:t>
      </w:r>
      <w:r w:rsidRPr="00B66CCE">
        <w:rPr>
          <w:rFonts w:hint="eastAsia"/>
        </w:rPr>
        <w:t>3080.69</w:t>
      </w:r>
      <w:r w:rsidRPr="00B66CCE">
        <w:rPr>
          <w:rFonts w:hint="eastAsia"/>
        </w:rPr>
        <w:t>万，年末结余</w:t>
      </w:r>
      <w:r w:rsidRPr="00B66CCE">
        <w:rPr>
          <w:rFonts w:hint="eastAsia"/>
        </w:rPr>
        <w:t>25.23</w:t>
      </w:r>
      <w:r w:rsidRPr="00B66CCE">
        <w:rPr>
          <w:rFonts w:hint="eastAsia"/>
        </w:rPr>
        <w:t>万。</w:t>
      </w:r>
    </w:p>
    <w:p w14:paraId="033F79DD" w14:textId="77777777" w:rsidR="006450BE" w:rsidRPr="00B66CCE" w:rsidRDefault="0023482D">
      <w:pPr>
        <w:pStyle w:val="af4"/>
        <w:ind w:firstLineChars="200" w:firstLine="640"/>
      </w:pPr>
      <w:bookmarkStart w:id="8" w:name="_Toc109650651"/>
      <w:r w:rsidRPr="00B66CCE">
        <w:rPr>
          <w:rFonts w:hint="eastAsia"/>
        </w:rPr>
        <w:t>（四）项目组织实施情况</w:t>
      </w:r>
      <w:bookmarkEnd w:id="8"/>
    </w:p>
    <w:p w14:paraId="3532B23B" w14:textId="77777777" w:rsidR="006450BE" w:rsidRPr="00B66CCE" w:rsidRDefault="0023482D">
      <w:pPr>
        <w:pStyle w:val="af0"/>
        <w:ind w:firstLineChars="200" w:firstLine="640"/>
        <w:rPr>
          <w:color w:val="000000"/>
        </w:rPr>
      </w:pPr>
      <w:r w:rsidRPr="00B66CCE">
        <w:rPr>
          <w:rFonts w:hint="eastAsia"/>
        </w:rPr>
        <w:t>在供养金发放方式上，</w:t>
      </w:r>
      <w:r w:rsidRPr="00B66CCE">
        <w:rPr>
          <w:rFonts w:hint="eastAsia"/>
          <w:color w:val="000000"/>
        </w:rPr>
        <w:t>按照预算管理规定，惠来县民政局每月根据项目资金需求向惠来县财政局请领后，由惠来县财政局审核后</w:t>
      </w:r>
      <w:proofErr w:type="gramStart"/>
      <w:r w:rsidRPr="00B66CCE">
        <w:rPr>
          <w:rFonts w:hint="eastAsia"/>
          <w:color w:val="000000"/>
        </w:rPr>
        <w:t>逐月将</w:t>
      </w:r>
      <w:proofErr w:type="gramEnd"/>
      <w:r w:rsidRPr="00B66CCE">
        <w:rPr>
          <w:rFonts w:hint="eastAsia"/>
          <w:color w:val="000000"/>
        </w:rPr>
        <w:t>项目资金拨入惠来县民政局，惠来县民政局</w:t>
      </w:r>
      <w:r w:rsidRPr="00B66CCE">
        <w:rPr>
          <w:rFonts w:hint="eastAsia"/>
        </w:rPr>
        <w:t>每月由业务人员编制“特困人员供养金发放花名册”，经股长审核、局领导审批确认签名后送财务部门，财务部门根据审批的“特困人员供养金发放花名册”委托县信用社逐月按标准按时将供</w:t>
      </w:r>
      <w:r w:rsidRPr="00B66CCE">
        <w:rPr>
          <w:rFonts w:hint="eastAsia"/>
        </w:rPr>
        <w:lastRenderedPageBreak/>
        <w:t>养金划入供养对象的个人银行账号。</w:t>
      </w:r>
    </w:p>
    <w:p w14:paraId="74EC5BF2" w14:textId="77777777" w:rsidR="006450BE" w:rsidRPr="00B66CCE" w:rsidRDefault="0023482D">
      <w:pPr>
        <w:pStyle w:val="af4"/>
        <w:ind w:firstLineChars="200" w:firstLine="640"/>
      </w:pPr>
      <w:bookmarkStart w:id="9" w:name="_Toc109650652"/>
      <w:r w:rsidRPr="00B66CCE">
        <w:rPr>
          <w:rFonts w:hint="eastAsia"/>
        </w:rPr>
        <w:t>（五）项目绩效情况</w:t>
      </w:r>
      <w:bookmarkEnd w:id="9"/>
    </w:p>
    <w:p w14:paraId="2A9053F1" w14:textId="77777777" w:rsidR="006450BE" w:rsidRPr="00B66CCE" w:rsidRDefault="0023482D">
      <w:pPr>
        <w:pStyle w:val="af0"/>
        <w:ind w:firstLineChars="200" w:firstLine="640"/>
      </w:pPr>
      <w:r w:rsidRPr="00B66CCE">
        <w:rPr>
          <w:rFonts w:hint="eastAsia"/>
        </w:rPr>
        <w:t>1</w:t>
      </w:r>
      <w:r w:rsidRPr="00B66CCE">
        <w:rPr>
          <w:rFonts w:hint="eastAsia"/>
        </w:rPr>
        <w:t>．经济效益</w:t>
      </w:r>
    </w:p>
    <w:p w14:paraId="7DF1164B" w14:textId="77777777" w:rsidR="006450BE" w:rsidRPr="00B66CCE" w:rsidRDefault="0023482D">
      <w:pPr>
        <w:pStyle w:val="af0"/>
        <w:ind w:firstLineChars="200" w:firstLine="640"/>
      </w:pPr>
      <w:r w:rsidRPr="00B66CCE">
        <w:rPr>
          <w:rFonts w:hint="eastAsia"/>
        </w:rPr>
        <w:t>为特困人员提供基本生活、照料服务、疾病治疗和殡葬服务等方面保障，做到应救尽救、应养尽养，对于维护社会稳定、促进经济建设和社会和谐都起着至关重</w:t>
      </w:r>
      <w:r w:rsidRPr="00B66CCE">
        <w:rPr>
          <w:rFonts w:hint="eastAsia"/>
        </w:rPr>
        <w:t>要的作用。</w:t>
      </w:r>
    </w:p>
    <w:p w14:paraId="24F141F8" w14:textId="77777777" w:rsidR="006450BE" w:rsidRPr="00B66CCE" w:rsidRDefault="0023482D">
      <w:pPr>
        <w:pStyle w:val="af0"/>
        <w:ind w:firstLineChars="200" w:firstLine="640"/>
      </w:pPr>
      <w:r w:rsidRPr="00B66CCE">
        <w:rPr>
          <w:rFonts w:hint="eastAsia"/>
        </w:rPr>
        <w:t>2.</w:t>
      </w:r>
      <w:r w:rsidRPr="00B66CCE">
        <w:rPr>
          <w:rFonts w:hint="eastAsia"/>
        </w:rPr>
        <w:t>社会效益</w:t>
      </w:r>
    </w:p>
    <w:p w14:paraId="567C9159" w14:textId="77777777" w:rsidR="006450BE" w:rsidRPr="00B66CCE" w:rsidRDefault="0023482D">
      <w:pPr>
        <w:pStyle w:val="af0"/>
        <w:ind w:firstLineChars="200" w:firstLine="640"/>
      </w:pPr>
      <w:r w:rsidRPr="00B66CCE">
        <w:rPr>
          <w:rFonts w:hint="eastAsia"/>
        </w:rPr>
        <w:t>保障了特困供养人员的吃、穿、住、老、病、死等方面的问题，对促进社会公平，维护社会稳定，构建和谐社会具有十分重要的意义。</w:t>
      </w:r>
    </w:p>
    <w:p w14:paraId="03E0DD66" w14:textId="77777777" w:rsidR="006450BE" w:rsidRPr="00B66CCE" w:rsidRDefault="0023482D">
      <w:pPr>
        <w:pStyle w:val="af0"/>
        <w:ind w:firstLineChars="200" w:firstLine="640"/>
      </w:pPr>
      <w:r w:rsidRPr="00B66CCE">
        <w:rPr>
          <w:rFonts w:hint="eastAsia"/>
        </w:rPr>
        <w:t>3.</w:t>
      </w:r>
      <w:r w:rsidRPr="00B66CCE">
        <w:rPr>
          <w:rFonts w:hint="eastAsia"/>
        </w:rPr>
        <w:t>可持续性</w:t>
      </w:r>
    </w:p>
    <w:p w14:paraId="649A5244" w14:textId="77777777" w:rsidR="006450BE" w:rsidRPr="00B66CCE" w:rsidRDefault="0023482D">
      <w:pPr>
        <w:pStyle w:val="af0"/>
        <w:ind w:firstLineChars="200" w:firstLine="640"/>
      </w:pPr>
      <w:r w:rsidRPr="00B66CCE">
        <w:rPr>
          <w:rFonts w:hint="eastAsia"/>
        </w:rPr>
        <w:t>特困供养补助救助制度是我国目前较为成熟和完善的一项社会保障制度，对城乡最缺乏生存能力，最需要获得帮助的弱势群体的基本生活进行</w:t>
      </w:r>
      <w:r w:rsidRPr="00B66CCE">
        <w:rPr>
          <w:rFonts w:hint="eastAsia"/>
        </w:rPr>
        <w:t>兜底</w:t>
      </w:r>
      <w:r w:rsidRPr="00B66CCE">
        <w:rPr>
          <w:rFonts w:hint="eastAsia"/>
        </w:rPr>
        <w:t>保障，是整个城乡社会保障体系中最后一层社会安全网。做好特困供养保障工作事关民生的根本，是构建社会主义新农村的必然要求，是社会和谐稳定的重要保证，将进一步促进民生事业的可持续性健康发展。</w:t>
      </w:r>
    </w:p>
    <w:p w14:paraId="0F52EE19" w14:textId="77777777" w:rsidR="006450BE" w:rsidRPr="00B66CCE" w:rsidRDefault="0023482D">
      <w:pPr>
        <w:pStyle w:val="af0"/>
        <w:ind w:firstLineChars="200" w:firstLine="640"/>
      </w:pPr>
      <w:r w:rsidRPr="00B66CCE">
        <w:rPr>
          <w:rFonts w:hint="eastAsia"/>
        </w:rPr>
        <w:t>4</w:t>
      </w:r>
      <w:r w:rsidRPr="00B66CCE">
        <w:rPr>
          <w:rFonts w:hint="eastAsia"/>
        </w:rPr>
        <w:t>．群众满意度</w:t>
      </w:r>
    </w:p>
    <w:p w14:paraId="7B84DE11" w14:textId="77777777" w:rsidR="006450BE" w:rsidRPr="00B66CCE" w:rsidRDefault="0023482D">
      <w:pPr>
        <w:pStyle w:val="af0"/>
        <w:ind w:firstLineChars="200" w:firstLine="640"/>
      </w:pPr>
      <w:r w:rsidRPr="00B66CCE">
        <w:rPr>
          <w:rFonts w:hint="eastAsia"/>
        </w:rPr>
        <w:t>通过对特困供养补助救助</w:t>
      </w:r>
      <w:r w:rsidRPr="00B66CCE">
        <w:rPr>
          <w:rFonts w:hint="eastAsia"/>
        </w:rPr>
        <w:t>项目调查问卷了解，群众普遍认为特困供养资金发挥了</w:t>
      </w:r>
      <w:proofErr w:type="gramStart"/>
      <w:r w:rsidRPr="00B66CCE">
        <w:rPr>
          <w:rFonts w:hint="eastAsia"/>
        </w:rPr>
        <w:t>救难救需的</w:t>
      </w:r>
      <w:proofErr w:type="gramEnd"/>
      <w:r w:rsidRPr="00B66CCE">
        <w:rPr>
          <w:rFonts w:hint="eastAsia"/>
        </w:rPr>
        <w:t>作用，在一定程度甚至根本上解决了特困人员生存需要，广大群众对特困供养补助救助资金的发放满意度比较高。</w:t>
      </w:r>
    </w:p>
    <w:p w14:paraId="334819BA" w14:textId="77777777" w:rsidR="006450BE" w:rsidRPr="00B66CCE" w:rsidRDefault="0023482D">
      <w:pPr>
        <w:pStyle w:val="af2"/>
        <w:ind w:firstLineChars="200" w:firstLine="640"/>
      </w:pPr>
      <w:bookmarkStart w:id="10" w:name="_Toc109650653"/>
      <w:r w:rsidRPr="00B66CCE">
        <w:rPr>
          <w:rFonts w:hint="eastAsia"/>
        </w:rPr>
        <w:lastRenderedPageBreak/>
        <w:t>二、评价结果</w:t>
      </w:r>
      <w:bookmarkEnd w:id="10"/>
    </w:p>
    <w:p w14:paraId="700FCF9B" w14:textId="77777777" w:rsidR="006450BE" w:rsidRPr="00B66CCE" w:rsidRDefault="0023482D">
      <w:pPr>
        <w:pStyle w:val="af4"/>
        <w:ind w:firstLineChars="200" w:firstLine="640"/>
      </w:pPr>
      <w:bookmarkStart w:id="11" w:name="_Toc109650654"/>
      <w:r w:rsidRPr="00B66CCE">
        <w:rPr>
          <w:rFonts w:hint="eastAsia"/>
        </w:rPr>
        <w:t>（一）评价原则与评价方法</w:t>
      </w:r>
      <w:bookmarkEnd w:id="11"/>
    </w:p>
    <w:p w14:paraId="299C61C0" w14:textId="77777777" w:rsidR="006450BE" w:rsidRPr="00B66CCE" w:rsidRDefault="0023482D">
      <w:pPr>
        <w:pStyle w:val="af0"/>
        <w:ind w:firstLineChars="200" w:firstLine="640"/>
      </w:pPr>
      <w:r w:rsidRPr="00B66CCE">
        <w:rPr>
          <w:rFonts w:hint="eastAsia"/>
        </w:rPr>
        <w:t>本次评价遵循目标导向性原则、科学客观性原则和公平公正性原则，采用成本效益分析法、目标预定与实施效果比较法、因素分析法，通过对</w:t>
      </w:r>
      <w:bookmarkStart w:id="12" w:name="_Hlk91235159"/>
      <w:r w:rsidRPr="00B66CCE">
        <w:rPr>
          <w:rFonts w:hint="eastAsia"/>
        </w:rPr>
        <w:t>特困人员补助救助项目</w:t>
      </w:r>
      <w:bookmarkEnd w:id="12"/>
      <w:r w:rsidRPr="00B66CCE">
        <w:rPr>
          <w:rFonts w:hint="eastAsia"/>
        </w:rPr>
        <w:t>所产生的实际结果与预定目标比较，综合分析影响绩效目标实现和实施效果的内外因素，再结合特困对象调查结果，对特困人员补助救助项目的投入、产出和效益做出客观、公正的评价。</w:t>
      </w:r>
    </w:p>
    <w:p w14:paraId="6F5EC0B7" w14:textId="77777777" w:rsidR="006450BE" w:rsidRPr="00B66CCE" w:rsidRDefault="0023482D">
      <w:pPr>
        <w:pStyle w:val="af4"/>
        <w:ind w:firstLineChars="200" w:firstLine="640"/>
      </w:pPr>
      <w:bookmarkStart w:id="13" w:name="_Toc109650655"/>
      <w:r w:rsidRPr="00B66CCE">
        <w:rPr>
          <w:rFonts w:hint="eastAsia"/>
        </w:rPr>
        <w:t>（</w:t>
      </w:r>
      <w:r w:rsidRPr="00B66CCE">
        <w:rPr>
          <w:rFonts w:hint="eastAsia"/>
        </w:rPr>
        <w:t>二）评价结果</w:t>
      </w:r>
      <w:bookmarkEnd w:id="13"/>
    </w:p>
    <w:p w14:paraId="21140EA4" w14:textId="77777777" w:rsidR="006450BE" w:rsidRPr="00B66CCE" w:rsidRDefault="0023482D">
      <w:pPr>
        <w:pStyle w:val="af0"/>
        <w:ind w:firstLineChars="200" w:firstLine="640"/>
      </w:pPr>
      <w:r w:rsidRPr="00B66CCE">
        <w:rPr>
          <w:rFonts w:hint="eastAsia"/>
        </w:rPr>
        <w:t>根据项目的特点和绩效评价的要求，</w:t>
      </w:r>
      <w:r w:rsidRPr="00B66CCE">
        <w:rPr>
          <w:rFonts w:hint="eastAsia"/>
        </w:rPr>
        <w:t>20</w:t>
      </w:r>
      <w:r w:rsidRPr="00B66CCE">
        <w:t>20</w:t>
      </w:r>
      <w:r w:rsidRPr="00B66CCE">
        <w:rPr>
          <w:rFonts w:hint="eastAsia"/>
        </w:rPr>
        <w:t>年度</w:t>
      </w:r>
      <w:bookmarkStart w:id="14" w:name="_Hlk91249896"/>
      <w:r w:rsidRPr="00B66CCE">
        <w:rPr>
          <w:rFonts w:hint="eastAsia"/>
        </w:rPr>
        <w:t>特困人员补助救助</w:t>
      </w:r>
      <w:bookmarkEnd w:id="14"/>
      <w:r w:rsidRPr="00B66CCE">
        <w:rPr>
          <w:rFonts w:hint="eastAsia"/>
        </w:rPr>
        <w:t>项目绩效评价指标体系分为项目决策、项目</w:t>
      </w:r>
      <w:bookmarkStart w:id="15" w:name="_Hlk91239618"/>
      <w:r w:rsidRPr="00B66CCE">
        <w:rPr>
          <w:rFonts w:hint="eastAsia"/>
        </w:rPr>
        <w:t>过程</w:t>
      </w:r>
      <w:bookmarkEnd w:id="15"/>
      <w:r w:rsidRPr="00B66CCE">
        <w:rPr>
          <w:rFonts w:hint="eastAsia"/>
        </w:rPr>
        <w:t>、</w:t>
      </w:r>
      <w:bookmarkStart w:id="16" w:name="_Hlk91239640"/>
      <w:r w:rsidRPr="00B66CCE">
        <w:rPr>
          <w:rFonts w:hint="eastAsia"/>
        </w:rPr>
        <w:t>项目产出</w:t>
      </w:r>
      <w:bookmarkEnd w:id="16"/>
      <w:r w:rsidRPr="00B66CCE">
        <w:rPr>
          <w:rFonts w:hint="eastAsia"/>
        </w:rPr>
        <w:t>、项目效益四个大类，</w:t>
      </w:r>
      <w:r w:rsidRPr="00B66CCE">
        <w:t>绩效评价指标体系包括</w:t>
      </w:r>
      <w:r w:rsidRPr="00B66CCE">
        <w:t>4</w:t>
      </w:r>
      <w:r w:rsidRPr="00B66CCE">
        <w:t>个一级指标，</w:t>
      </w:r>
      <w:r w:rsidRPr="00B66CCE">
        <w:t>7</w:t>
      </w:r>
      <w:r w:rsidRPr="00B66CCE">
        <w:t>个二级指标</w:t>
      </w:r>
      <w:r w:rsidRPr="00B66CCE">
        <w:rPr>
          <w:rFonts w:hint="eastAsia"/>
        </w:rPr>
        <w:t>，</w:t>
      </w:r>
      <w:r w:rsidRPr="00B66CCE">
        <w:t>17</w:t>
      </w:r>
      <w:r w:rsidRPr="00B66CCE">
        <w:t>个三</w:t>
      </w:r>
      <w:bookmarkStart w:id="17" w:name="_Hlk91239504"/>
      <w:r w:rsidRPr="00B66CCE">
        <w:t>级指标</w:t>
      </w:r>
      <w:bookmarkEnd w:id="17"/>
      <w:r w:rsidRPr="00B66CCE">
        <w:rPr>
          <w:rFonts w:hint="eastAsia"/>
        </w:rPr>
        <w:t>和</w:t>
      </w:r>
      <w:r w:rsidRPr="00B66CCE">
        <w:rPr>
          <w:rFonts w:hint="eastAsia"/>
        </w:rPr>
        <w:t>3</w:t>
      </w:r>
      <w:r w:rsidRPr="00B66CCE">
        <w:t>5</w:t>
      </w:r>
      <w:r w:rsidRPr="00B66CCE">
        <w:rPr>
          <w:rFonts w:hint="eastAsia"/>
        </w:rPr>
        <w:t>个四</w:t>
      </w:r>
      <w:r w:rsidRPr="00B66CCE">
        <w:t>级指标。</w:t>
      </w:r>
      <w:r w:rsidRPr="00B66CCE">
        <w:rPr>
          <w:rFonts w:hint="eastAsia"/>
        </w:rPr>
        <w:t>设定满分</w:t>
      </w:r>
      <w:r w:rsidRPr="00B66CCE">
        <w:rPr>
          <w:rFonts w:hint="eastAsia"/>
        </w:rPr>
        <w:t>100</w:t>
      </w:r>
      <w:r w:rsidRPr="00B66CCE">
        <w:rPr>
          <w:rFonts w:hint="eastAsia"/>
        </w:rPr>
        <w:t>分。其中：项目决策部分</w:t>
      </w:r>
      <w:r w:rsidRPr="00B66CCE">
        <w:t>11</w:t>
      </w:r>
      <w:r w:rsidRPr="00B66CCE">
        <w:rPr>
          <w:rFonts w:hint="eastAsia"/>
        </w:rPr>
        <w:t>分，项目过程部分</w:t>
      </w:r>
      <w:r w:rsidRPr="00B66CCE">
        <w:t>29</w:t>
      </w:r>
      <w:r w:rsidRPr="00B66CCE">
        <w:rPr>
          <w:rFonts w:hint="eastAsia"/>
        </w:rPr>
        <w:t>分，</w:t>
      </w:r>
      <w:bookmarkStart w:id="18" w:name="_Hlk91239816"/>
      <w:r w:rsidRPr="00B66CCE">
        <w:rPr>
          <w:rFonts w:hint="eastAsia"/>
        </w:rPr>
        <w:t>项目产出部分</w:t>
      </w:r>
      <w:r w:rsidRPr="00B66CCE">
        <w:rPr>
          <w:rFonts w:hint="eastAsia"/>
        </w:rPr>
        <w:t>3</w:t>
      </w:r>
      <w:r w:rsidRPr="00B66CCE">
        <w:t>0</w:t>
      </w:r>
      <w:r w:rsidRPr="00B66CCE">
        <w:rPr>
          <w:rFonts w:hint="eastAsia"/>
        </w:rPr>
        <w:t>分</w:t>
      </w:r>
      <w:bookmarkEnd w:id="18"/>
      <w:r w:rsidRPr="00B66CCE">
        <w:rPr>
          <w:rFonts w:hint="eastAsia"/>
        </w:rPr>
        <w:t>，项目效益部分</w:t>
      </w:r>
      <w:r w:rsidRPr="00B66CCE">
        <w:t>30</w:t>
      </w:r>
      <w:r w:rsidRPr="00B66CCE">
        <w:rPr>
          <w:rFonts w:hint="eastAsia"/>
        </w:rPr>
        <w:t>分。</w:t>
      </w:r>
    </w:p>
    <w:p w14:paraId="19825B42" w14:textId="77777777" w:rsidR="006450BE" w:rsidRPr="00B66CCE" w:rsidRDefault="0023482D">
      <w:pPr>
        <w:pStyle w:val="af0"/>
        <w:ind w:firstLineChars="200" w:firstLine="640"/>
      </w:pPr>
      <w:r w:rsidRPr="00B66CCE">
        <w:rPr>
          <w:rFonts w:hint="eastAsia"/>
        </w:rPr>
        <w:t>专家组通过项目的书面评价和现场核查，并结合惠来县民政局对项目的组织监督和管理情况，判定</w:t>
      </w:r>
      <w:r w:rsidRPr="00B66CCE">
        <w:rPr>
          <w:rFonts w:hint="eastAsia"/>
        </w:rPr>
        <w:t>2020</w:t>
      </w:r>
      <w:r w:rsidRPr="00B66CCE">
        <w:rPr>
          <w:rFonts w:hint="eastAsia"/>
        </w:rPr>
        <w:t>年度惠来县特困人员补助救助项目</w:t>
      </w:r>
      <w:r w:rsidRPr="00B66CCE">
        <w:t>评价得分</w:t>
      </w:r>
      <w:r w:rsidRPr="00B66CCE">
        <w:t>90</w:t>
      </w:r>
      <w:r w:rsidRPr="00B66CCE">
        <w:t>分，</w:t>
      </w:r>
      <w:r w:rsidRPr="00B66CCE">
        <w:rPr>
          <w:rFonts w:hint="eastAsia"/>
        </w:rPr>
        <w:t>其中：项目</w:t>
      </w:r>
      <w:bookmarkStart w:id="19" w:name="_Hlk91240314"/>
      <w:r w:rsidRPr="00B66CCE">
        <w:rPr>
          <w:rFonts w:hint="eastAsia"/>
        </w:rPr>
        <w:t>决策</w:t>
      </w:r>
      <w:bookmarkEnd w:id="19"/>
      <w:r w:rsidRPr="00B66CCE">
        <w:rPr>
          <w:rFonts w:hint="eastAsia"/>
        </w:rPr>
        <w:t>部分</w:t>
      </w:r>
      <w:bookmarkStart w:id="20" w:name="_Hlk91239834"/>
      <w:r w:rsidRPr="00B66CCE">
        <w:rPr>
          <w:rFonts w:hint="eastAsia"/>
        </w:rPr>
        <w:t>设定</w:t>
      </w:r>
      <w:bookmarkEnd w:id="20"/>
      <w:r w:rsidRPr="00B66CCE">
        <w:t>11</w:t>
      </w:r>
      <w:r w:rsidRPr="00B66CCE">
        <w:rPr>
          <w:rFonts w:hint="eastAsia"/>
        </w:rPr>
        <w:t>分，实际得分</w:t>
      </w:r>
      <w:r w:rsidRPr="00B66CCE">
        <w:t>1</w:t>
      </w:r>
      <w:r w:rsidRPr="00B66CCE">
        <w:t>0</w:t>
      </w:r>
      <w:r w:rsidRPr="00B66CCE">
        <w:rPr>
          <w:rFonts w:hint="eastAsia"/>
        </w:rPr>
        <w:t>分；项目过程部分设定</w:t>
      </w:r>
      <w:r w:rsidRPr="00B66CCE">
        <w:t>29</w:t>
      </w:r>
      <w:r w:rsidRPr="00B66CCE">
        <w:rPr>
          <w:rFonts w:hint="eastAsia"/>
        </w:rPr>
        <w:t>分，实际得分</w:t>
      </w:r>
      <w:r w:rsidRPr="00B66CCE">
        <w:rPr>
          <w:rFonts w:hint="eastAsia"/>
        </w:rPr>
        <w:t>2</w:t>
      </w:r>
      <w:r w:rsidRPr="00B66CCE">
        <w:t>7</w:t>
      </w:r>
      <w:r w:rsidRPr="00B66CCE">
        <w:rPr>
          <w:rFonts w:hint="eastAsia"/>
        </w:rPr>
        <w:t>分；项目产出部分设定</w:t>
      </w:r>
      <w:r w:rsidRPr="00B66CCE">
        <w:rPr>
          <w:rFonts w:hint="eastAsia"/>
        </w:rPr>
        <w:t>3</w:t>
      </w:r>
      <w:r w:rsidRPr="00B66CCE">
        <w:t>0</w:t>
      </w:r>
      <w:r w:rsidRPr="00B66CCE">
        <w:rPr>
          <w:rFonts w:hint="eastAsia"/>
        </w:rPr>
        <w:t>分，实际得分</w:t>
      </w:r>
      <w:r w:rsidRPr="00B66CCE">
        <w:t>28</w:t>
      </w:r>
      <w:r w:rsidRPr="00B66CCE">
        <w:rPr>
          <w:rFonts w:hint="eastAsia"/>
        </w:rPr>
        <w:t>分；项目效益部分设定</w:t>
      </w:r>
      <w:r w:rsidRPr="00B66CCE">
        <w:rPr>
          <w:rFonts w:hint="eastAsia"/>
        </w:rPr>
        <w:t>3</w:t>
      </w:r>
      <w:r w:rsidRPr="00B66CCE">
        <w:t>0</w:t>
      </w:r>
      <w:r w:rsidRPr="00B66CCE">
        <w:rPr>
          <w:rFonts w:hint="eastAsia"/>
        </w:rPr>
        <w:t>分，实际得分</w:t>
      </w:r>
      <w:r w:rsidRPr="00B66CCE">
        <w:t>25</w:t>
      </w:r>
      <w:r w:rsidRPr="00B66CCE">
        <w:rPr>
          <w:rFonts w:hint="eastAsia"/>
        </w:rPr>
        <w:t>分。</w:t>
      </w:r>
      <w:r w:rsidRPr="00B66CCE">
        <w:t>评价等级为</w:t>
      </w:r>
      <w:r w:rsidRPr="00B66CCE">
        <w:t>“</w:t>
      </w:r>
      <w:r w:rsidRPr="00B66CCE">
        <w:t>优</w:t>
      </w:r>
      <w:r w:rsidRPr="00B66CCE">
        <w:t>”</w:t>
      </w:r>
      <w:r w:rsidRPr="00B66CCE">
        <w:t>，评价指标具体得分详见</w:t>
      </w:r>
      <w:r w:rsidRPr="00B66CCE">
        <w:rPr>
          <w:rFonts w:hint="eastAsia"/>
        </w:rPr>
        <w:t>附</w:t>
      </w:r>
      <w:r w:rsidRPr="00B66CCE">
        <w:t>表</w:t>
      </w:r>
      <w:r w:rsidRPr="00B66CCE">
        <w:rPr>
          <w:rFonts w:hint="eastAsia"/>
        </w:rPr>
        <w:t>1</w:t>
      </w:r>
      <w:r w:rsidRPr="00B66CCE">
        <w:rPr>
          <w:rFonts w:hint="eastAsia"/>
        </w:rPr>
        <w:t>。</w:t>
      </w:r>
    </w:p>
    <w:p w14:paraId="38F3B6DD" w14:textId="77777777" w:rsidR="006450BE" w:rsidRPr="00B66CCE" w:rsidRDefault="0023482D">
      <w:pPr>
        <w:pStyle w:val="af0"/>
        <w:ind w:firstLineChars="200" w:firstLine="640"/>
      </w:pPr>
      <w:r w:rsidRPr="00B66CCE">
        <w:rPr>
          <w:rFonts w:hint="eastAsia"/>
        </w:rPr>
        <w:lastRenderedPageBreak/>
        <w:t>各项指标扣分情况说明如下：</w:t>
      </w:r>
    </w:p>
    <w:p w14:paraId="78BB057D" w14:textId="77777777" w:rsidR="006450BE" w:rsidRPr="00B66CCE" w:rsidRDefault="0023482D">
      <w:pPr>
        <w:pStyle w:val="af0"/>
        <w:ind w:firstLineChars="200" w:firstLine="640"/>
      </w:pPr>
      <w:r w:rsidRPr="00B66CCE">
        <w:rPr>
          <w:rFonts w:hint="eastAsia"/>
        </w:rPr>
        <w:t>1</w:t>
      </w:r>
      <w:r w:rsidRPr="00B66CCE">
        <w:rPr>
          <w:rFonts w:hint="eastAsia"/>
        </w:rPr>
        <w:t>、项目决策</w:t>
      </w:r>
      <w:bookmarkStart w:id="21" w:name="_Hlk91240809"/>
      <w:r w:rsidRPr="00B66CCE">
        <w:rPr>
          <w:rFonts w:hint="eastAsia"/>
        </w:rPr>
        <w:t>包括项目立项、绩效目标、资金投入</w:t>
      </w:r>
      <w:r w:rsidRPr="00B66CCE">
        <w:rPr>
          <w:rFonts w:hint="eastAsia"/>
        </w:rPr>
        <w:t>3</w:t>
      </w:r>
      <w:r w:rsidRPr="00B66CCE">
        <w:rPr>
          <w:rFonts w:hint="eastAsia"/>
        </w:rPr>
        <w:t>个二级指标，</w:t>
      </w:r>
      <w:bookmarkStart w:id="22" w:name="_Hlk91240871"/>
      <w:bookmarkEnd w:id="21"/>
      <w:r w:rsidRPr="00B66CCE">
        <w:rPr>
          <w:rFonts w:hint="eastAsia"/>
        </w:rPr>
        <w:t>满分</w:t>
      </w:r>
      <w:r w:rsidRPr="00B66CCE">
        <w:t>11</w:t>
      </w:r>
      <w:r w:rsidRPr="00B66CCE">
        <w:rPr>
          <w:rFonts w:hint="eastAsia"/>
        </w:rPr>
        <w:t>分，扣</w:t>
      </w:r>
      <w:r w:rsidRPr="00B66CCE">
        <w:rPr>
          <w:rFonts w:hint="eastAsia"/>
        </w:rPr>
        <w:t>1</w:t>
      </w:r>
      <w:r w:rsidRPr="00B66CCE">
        <w:rPr>
          <w:rFonts w:hint="eastAsia"/>
        </w:rPr>
        <w:t>分，得</w:t>
      </w:r>
      <w:r w:rsidRPr="00B66CCE">
        <w:t>10</w:t>
      </w:r>
      <w:r w:rsidRPr="00B66CCE">
        <w:rPr>
          <w:rFonts w:hint="eastAsia"/>
        </w:rPr>
        <w:t>分。</w:t>
      </w:r>
      <w:bookmarkStart w:id="23" w:name="_Hlk91240901"/>
      <w:bookmarkEnd w:id="22"/>
      <w:r w:rsidRPr="00B66CCE">
        <w:rPr>
          <w:rFonts w:hint="eastAsia"/>
        </w:rPr>
        <w:t>扣分原因：预算编制与实际执行存在一定的偏差。</w:t>
      </w:r>
      <w:bookmarkEnd w:id="23"/>
    </w:p>
    <w:p w14:paraId="39CE7802" w14:textId="77777777" w:rsidR="006450BE" w:rsidRPr="00B66CCE" w:rsidRDefault="0023482D">
      <w:pPr>
        <w:pStyle w:val="af0"/>
        <w:ind w:firstLineChars="200" w:firstLine="640"/>
      </w:pPr>
      <w:r w:rsidRPr="00B66CCE">
        <w:rPr>
          <w:rFonts w:hint="eastAsia"/>
        </w:rPr>
        <w:t>2</w:t>
      </w:r>
      <w:r w:rsidRPr="00B66CCE">
        <w:rPr>
          <w:rFonts w:hint="eastAsia"/>
        </w:rPr>
        <w:t>、项目过程包括资金管理、组织实施</w:t>
      </w:r>
      <w:r w:rsidRPr="00B66CCE">
        <w:rPr>
          <w:rFonts w:hint="eastAsia"/>
        </w:rPr>
        <w:t>2</w:t>
      </w:r>
      <w:r w:rsidRPr="00B66CCE">
        <w:rPr>
          <w:rFonts w:hint="eastAsia"/>
        </w:rPr>
        <w:t>个二级指标，满分</w:t>
      </w:r>
      <w:r w:rsidRPr="00B66CCE">
        <w:t>29</w:t>
      </w:r>
      <w:r w:rsidRPr="00B66CCE">
        <w:rPr>
          <w:rFonts w:hint="eastAsia"/>
        </w:rPr>
        <w:t>分，</w:t>
      </w:r>
      <w:bookmarkStart w:id="24" w:name="_Hlk91251570"/>
      <w:r w:rsidRPr="00B66CCE">
        <w:rPr>
          <w:rFonts w:hint="eastAsia"/>
        </w:rPr>
        <w:t>扣</w:t>
      </w:r>
      <w:r w:rsidRPr="00B66CCE">
        <w:t>2</w:t>
      </w:r>
      <w:r w:rsidRPr="00B66CCE">
        <w:rPr>
          <w:rFonts w:hint="eastAsia"/>
        </w:rPr>
        <w:t>分，</w:t>
      </w:r>
      <w:bookmarkEnd w:id="24"/>
      <w:r w:rsidRPr="00B66CCE">
        <w:rPr>
          <w:rFonts w:hint="eastAsia"/>
        </w:rPr>
        <w:t>得</w:t>
      </w:r>
      <w:r w:rsidRPr="00B66CCE">
        <w:t>27</w:t>
      </w:r>
      <w:r w:rsidRPr="00B66CCE">
        <w:rPr>
          <w:rFonts w:hint="eastAsia"/>
        </w:rPr>
        <w:t>分。</w:t>
      </w:r>
      <w:bookmarkStart w:id="25" w:name="_Hlk91241188"/>
      <w:r w:rsidRPr="00B66CCE">
        <w:rPr>
          <w:rFonts w:hint="eastAsia"/>
        </w:rPr>
        <w:t>扣分原因：</w:t>
      </w:r>
      <w:bookmarkEnd w:id="25"/>
      <w:r w:rsidRPr="00B66CCE">
        <w:rPr>
          <w:rFonts w:hint="eastAsia"/>
        </w:rPr>
        <w:t>预算执行率存在一定的偏差，</w:t>
      </w:r>
      <w:r w:rsidRPr="00B66CCE">
        <w:rPr>
          <w:rFonts w:hint="eastAsia"/>
        </w:rPr>
        <w:t>2020</w:t>
      </w:r>
      <w:r w:rsidRPr="00B66CCE">
        <w:rPr>
          <w:rFonts w:hint="eastAsia"/>
        </w:rPr>
        <w:t>年《广东省财政厅关于提前下达省财政</w:t>
      </w:r>
      <w:r w:rsidRPr="00B66CCE">
        <w:rPr>
          <w:rFonts w:hint="eastAsia"/>
        </w:rPr>
        <w:t>2020</w:t>
      </w:r>
      <w:r w:rsidRPr="00B66CCE">
        <w:rPr>
          <w:rFonts w:hint="eastAsia"/>
        </w:rPr>
        <w:t>年困难群众救助补助预算资金的通知》（</w:t>
      </w:r>
      <w:proofErr w:type="gramStart"/>
      <w:r w:rsidRPr="00B66CCE">
        <w:rPr>
          <w:rFonts w:hint="eastAsia"/>
        </w:rPr>
        <w:t>粤财社〔</w:t>
      </w:r>
      <w:r w:rsidRPr="00B66CCE">
        <w:rPr>
          <w:rFonts w:hint="eastAsia"/>
        </w:rPr>
        <w:t>2019</w:t>
      </w:r>
      <w:r w:rsidRPr="00B66CCE">
        <w:rPr>
          <w:rFonts w:hint="eastAsia"/>
        </w:rPr>
        <w:t>〕</w:t>
      </w:r>
      <w:proofErr w:type="gramEnd"/>
      <w:r w:rsidRPr="00B66CCE">
        <w:rPr>
          <w:rFonts w:hint="eastAsia"/>
        </w:rPr>
        <w:t>238</w:t>
      </w:r>
      <w:r w:rsidRPr="00B66CCE">
        <w:rPr>
          <w:rFonts w:hint="eastAsia"/>
        </w:rPr>
        <w:t>号），分配下达特困人员供养金</w:t>
      </w:r>
      <w:r w:rsidRPr="00B66CCE">
        <w:t>3048</w:t>
      </w:r>
      <w:r w:rsidRPr="00B66CCE">
        <w:rPr>
          <w:rFonts w:hint="eastAsia"/>
        </w:rPr>
        <w:t>万，县级财政配套预算安排特困人员供养金</w:t>
      </w:r>
      <w:r w:rsidRPr="00B66CCE">
        <w:t>1009</w:t>
      </w:r>
      <w:r w:rsidRPr="00B66CCE">
        <w:rPr>
          <w:rFonts w:hint="eastAsia"/>
        </w:rPr>
        <w:t>万，</w:t>
      </w:r>
      <w:r w:rsidRPr="00B66CCE">
        <w:rPr>
          <w:rFonts w:hint="eastAsia"/>
        </w:rPr>
        <w:t>两项合计</w:t>
      </w:r>
      <w:r w:rsidRPr="00B66CCE">
        <w:rPr>
          <w:rFonts w:hint="eastAsia"/>
        </w:rPr>
        <w:t>4057</w:t>
      </w:r>
      <w:r w:rsidRPr="00B66CCE">
        <w:rPr>
          <w:rFonts w:hint="eastAsia"/>
        </w:rPr>
        <w:t>万。因</w:t>
      </w:r>
      <w:r w:rsidRPr="00B66CCE">
        <w:rPr>
          <w:rFonts w:hint="eastAsia"/>
        </w:rPr>
        <w:t>2020</w:t>
      </w:r>
      <w:r w:rsidRPr="00B66CCE">
        <w:rPr>
          <w:rFonts w:hint="eastAsia"/>
        </w:rPr>
        <w:t>年初特困人员供养金有结余，</w:t>
      </w:r>
      <w:r w:rsidRPr="00B66CCE">
        <w:rPr>
          <w:rFonts w:hint="eastAsia"/>
        </w:rPr>
        <w:t>2020</w:t>
      </w:r>
      <w:r w:rsidRPr="00B66CCE">
        <w:rPr>
          <w:rFonts w:hint="eastAsia"/>
        </w:rPr>
        <w:t>年</w:t>
      </w:r>
      <w:proofErr w:type="gramStart"/>
      <w:r w:rsidRPr="00B66CCE">
        <w:rPr>
          <w:rFonts w:hint="eastAsia"/>
        </w:rPr>
        <w:t>省级资金</w:t>
      </w:r>
      <w:proofErr w:type="gramEnd"/>
      <w:r w:rsidRPr="00B66CCE">
        <w:rPr>
          <w:rFonts w:hint="eastAsia"/>
        </w:rPr>
        <w:t>和县级配套</w:t>
      </w:r>
      <w:r w:rsidRPr="00B66CCE">
        <w:rPr>
          <w:rFonts w:hint="eastAsia"/>
        </w:rPr>
        <w:t>4057</w:t>
      </w:r>
      <w:r w:rsidRPr="00B66CCE">
        <w:rPr>
          <w:rFonts w:hint="eastAsia"/>
        </w:rPr>
        <w:t>万元</w:t>
      </w:r>
      <w:proofErr w:type="gramStart"/>
      <w:r w:rsidRPr="00B66CCE">
        <w:rPr>
          <w:rFonts w:hint="eastAsia"/>
        </w:rPr>
        <w:t>实际仅请领</w:t>
      </w:r>
      <w:proofErr w:type="gramEnd"/>
      <w:r w:rsidRPr="00B66CCE">
        <w:t>2861.17</w:t>
      </w:r>
      <w:r w:rsidRPr="00B66CCE">
        <w:rPr>
          <w:rFonts w:hint="eastAsia"/>
        </w:rPr>
        <w:t>万。同时，由于部门管理人员较少，对特困人员动态管理还不够完善。</w:t>
      </w:r>
    </w:p>
    <w:p w14:paraId="40DEB846" w14:textId="77777777" w:rsidR="006450BE" w:rsidRPr="00B66CCE" w:rsidRDefault="0023482D">
      <w:pPr>
        <w:pStyle w:val="af0"/>
        <w:ind w:firstLineChars="200" w:firstLine="640"/>
      </w:pPr>
      <w:r w:rsidRPr="00B66CCE">
        <w:rPr>
          <w:rFonts w:hint="eastAsia"/>
        </w:rPr>
        <w:t>3</w:t>
      </w:r>
      <w:r w:rsidRPr="00B66CCE">
        <w:rPr>
          <w:rFonts w:hint="eastAsia"/>
        </w:rPr>
        <w:t>、项目产出部分设定</w:t>
      </w:r>
      <w:r w:rsidRPr="00B66CCE">
        <w:rPr>
          <w:rFonts w:hint="eastAsia"/>
        </w:rPr>
        <w:t>3</w:t>
      </w:r>
      <w:r w:rsidRPr="00B66CCE">
        <w:t>0</w:t>
      </w:r>
      <w:r w:rsidRPr="00B66CCE">
        <w:rPr>
          <w:rFonts w:hint="eastAsia"/>
        </w:rPr>
        <w:t>分，扣</w:t>
      </w:r>
      <w:r w:rsidRPr="00B66CCE">
        <w:t>2</w:t>
      </w:r>
      <w:r w:rsidRPr="00B66CCE">
        <w:rPr>
          <w:rFonts w:hint="eastAsia"/>
        </w:rPr>
        <w:t>分，实际得分</w:t>
      </w:r>
      <w:r w:rsidRPr="00B66CCE">
        <w:t>28</w:t>
      </w:r>
      <w:r w:rsidRPr="00B66CCE">
        <w:rPr>
          <w:rFonts w:hint="eastAsia"/>
        </w:rPr>
        <w:t>分，扣分原因：由于审批流程比较长，存在不能按时发放特困人员</w:t>
      </w:r>
      <w:r w:rsidRPr="00B66CCE">
        <w:rPr>
          <w:rFonts w:hint="eastAsia"/>
        </w:rPr>
        <w:t>补助的情况。</w:t>
      </w:r>
    </w:p>
    <w:p w14:paraId="3B501D36" w14:textId="77777777" w:rsidR="006450BE" w:rsidRPr="00B66CCE" w:rsidRDefault="0023482D">
      <w:pPr>
        <w:pStyle w:val="af0"/>
        <w:ind w:firstLineChars="200" w:firstLine="640"/>
        <w:rPr>
          <w:rFonts w:ascii="宋体" w:hAnsi="宋体"/>
          <w:bCs/>
          <w:color w:val="000000"/>
        </w:rPr>
      </w:pPr>
      <w:r w:rsidRPr="00B66CCE">
        <w:rPr>
          <w:rFonts w:hint="eastAsia"/>
        </w:rPr>
        <w:t>4</w:t>
      </w:r>
      <w:r w:rsidRPr="00B66CCE">
        <w:rPr>
          <w:rFonts w:hint="eastAsia"/>
        </w:rPr>
        <w:t>、项目效益满分</w:t>
      </w:r>
      <w:r w:rsidRPr="00B66CCE">
        <w:t>30</w:t>
      </w:r>
      <w:r w:rsidRPr="00B66CCE">
        <w:rPr>
          <w:rFonts w:hint="eastAsia"/>
        </w:rPr>
        <w:t>分，得</w:t>
      </w:r>
      <w:r w:rsidRPr="00B66CCE">
        <w:t>25</w:t>
      </w:r>
      <w:r w:rsidRPr="00B66CCE">
        <w:rPr>
          <w:rFonts w:hint="eastAsia"/>
        </w:rPr>
        <w:t>分。扣分原因：特困补助对象、无保障对象生活水平提高得还不够快，受益人员满意度有待提高；特困补助工作宣传力度不够，有待进一步加强。</w:t>
      </w:r>
    </w:p>
    <w:p w14:paraId="0B7D7AE9" w14:textId="77777777" w:rsidR="006450BE" w:rsidRPr="00B66CCE" w:rsidRDefault="0023482D">
      <w:pPr>
        <w:pStyle w:val="af2"/>
        <w:ind w:firstLineChars="200" w:firstLine="640"/>
      </w:pPr>
      <w:bookmarkStart w:id="26" w:name="_Toc109650656"/>
      <w:r w:rsidRPr="00B66CCE">
        <w:rPr>
          <w:rFonts w:hint="eastAsia"/>
        </w:rPr>
        <w:t>三、存在问题及建议</w:t>
      </w:r>
      <w:bookmarkEnd w:id="26"/>
    </w:p>
    <w:p w14:paraId="67E0EB66" w14:textId="77777777" w:rsidR="006450BE" w:rsidRPr="00B66CCE" w:rsidRDefault="0023482D">
      <w:pPr>
        <w:pStyle w:val="af0"/>
        <w:ind w:firstLineChars="200" w:firstLine="640"/>
      </w:pPr>
      <w:r w:rsidRPr="00B66CCE">
        <w:rPr>
          <w:rFonts w:hint="eastAsia"/>
        </w:rPr>
        <w:t>（一）</w:t>
      </w:r>
      <w:r w:rsidRPr="00B66CCE">
        <w:rPr>
          <w:rFonts w:hint="eastAsia"/>
        </w:rPr>
        <w:t>20</w:t>
      </w:r>
      <w:r w:rsidRPr="00B66CCE">
        <w:t>20</w:t>
      </w:r>
      <w:r w:rsidRPr="00B66CCE">
        <w:rPr>
          <w:rFonts w:hint="eastAsia"/>
        </w:rPr>
        <w:t>年度</w:t>
      </w:r>
      <w:bookmarkStart w:id="27" w:name="_Hlk91251947"/>
      <w:r w:rsidRPr="00B66CCE">
        <w:rPr>
          <w:rFonts w:hint="eastAsia"/>
        </w:rPr>
        <w:t>特困补助</w:t>
      </w:r>
      <w:bookmarkStart w:id="28" w:name="_Hlk91265350"/>
      <w:r w:rsidRPr="00B66CCE">
        <w:rPr>
          <w:rFonts w:hint="eastAsia"/>
        </w:rPr>
        <w:t>救助</w:t>
      </w:r>
      <w:bookmarkEnd w:id="28"/>
      <w:r w:rsidRPr="00B66CCE">
        <w:rPr>
          <w:rFonts w:hint="eastAsia"/>
        </w:rPr>
        <w:t>金</w:t>
      </w:r>
      <w:bookmarkEnd w:id="27"/>
      <w:r w:rsidRPr="00B66CCE">
        <w:rPr>
          <w:rFonts w:hint="eastAsia"/>
        </w:rPr>
        <w:t>的申请发放流程比较长，存在着特困补助救助金不能按时发放的现象。</w:t>
      </w:r>
    </w:p>
    <w:p w14:paraId="3AB38F15" w14:textId="77777777" w:rsidR="006450BE" w:rsidRPr="00B66CCE" w:rsidRDefault="0023482D">
      <w:pPr>
        <w:pStyle w:val="af0"/>
        <w:ind w:firstLineChars="200" w:firstLine="640"/>
      </w:pPr>
      <w:r w:rsidRPr="00B66CCE">
        <w:rPr>
          <w:rFonts w:hint="eastAsia"/>
        </w:rPr>
        <w:lastRenderedPageBreak/>
        <w:t>建议：惠来县民政局在绩效监控过程中，适当优化审批流程，简化审批程序，确保特困补助金及时发放。</w:t>
      </w:r>
    </w:p>
    <w:p w14:paraId="1584E91B" w14:textId="77777777" w:rsidR="006450BE" w:rsidRPr="00B66CCE" w:rsidRDefault="0023482D">
      <w:pPr>
        <w:pStyle w:val="af0"/>
        <w:numPr>
          <w:ilvl w:val="0"/>
          <w:numId w:val="1"/>
        </w:numPr>
        <w:ind w:firstLineChars="200" w:firstLine="640"/>
      </w:pPr>
      <w:r w:rsidRPr="00B66CCE">
        <w:rPr>
          <w:rFonts w:hint="eastAsia"/>
        </w:rPr>
        <w:t>惠来县目前执行的补助标准与全省其他发达地区相比，标准较低，易造成补助对象攀比，引发不稳定因素。</w:t>
      </w:r>
    </w:p>
    <w:p w14:paraId="26EF676F" w14:textId="77777777" w:rsidR="006450BE" w:rsidRPr="00B66CCE" w:rsidRDefault="0023482D">
      <w:pPr>
        <w:spacing w:line="360" w:lineRule="auto"/>
        <w:ind w:firstLineChars="200" w:firstLine="640"/>
        <w:rPr>
          <w:rFonts w:ascii="仿宋" w:eastAsia="仿宋" w:hAnsi="仿宋" w:cs="仿宋"/>
          <w:sz w:val="32"/>
          <w:szCs w:val="32"/>
        </w:rPr>
      </w:pPr>
      <w:r w:rsidRPr="00B66CCE">
        <w:rPr>
          <w:rFonts w:ascii="仿宋" w:eastAsia="仿宋" w:hAnsi="仿宋" w:cs="仿宋" w:hint="eastAsia"/>
          <w:sz w:val="32"/>
          <w:szCs w:val="32"/>
        </w:rPr>
        <w:t>建议：</w:t>
      </w:r>
      <w:r w:rsidRPr="00B66CCE">
        <w:rPr>
          <w:rFonts w:ascii="仿宋" w:eastAsia="仿宋" w:hAnsi="仿宋" w:cs="仿宋" w:hint="eastAsia"/>
          <w:sz w:val="32"/>
          <w:szCs w:val="32"/>
        </w:rPr>
        <w:t>应动员社会各方面力量，积极开展各种形式的特困人员补助救助活动，帮助特困人员解决实际困难。通过加大财政投入、福利彩票公益金、社会捐赠等多种渠道，积极筹集资金提高补助标准，不断提高特困人员生活质量。</w:t>
      </w:r>
    </w:p>
    <w:p w14:paraId="495FD0C2" w14:textId="77777777" w:rsidR="006450BE" w:rsidRPr="00B66CCE" w:rsidRDefault="0023482D">
      <w:pPr>
        <w:pStyle w:val="af0"/>
        <w:ind w:firstLineChars="200" w:firstLine="640"/>
      </w:pPr>
      <w:r w:rsidRPr="00B66CCE">
        <w:rPr>
          <w:rFonts w:hint="eastAsia"/>
        </w:rPr>
        <w:t>（三）政策宣传力度不够。</w:t>
      </w:r>
    </w:p>
    <w:p w14:paraId="7BD88E98" w14:textId="77777777" w:rsidR="006450BE" w:rsidRPr="00B66CCE" w:rsidRDefault="0023482D">
      <w:pPr>
        <w:pStyle w:val="af0"/>
        <w:ind w:firstLineChars="200" w:firstLine="640"/>
      </w:pPr>
      <w:r w:rsidRPr="00B66CCE">
        <w:rPr>
          <w:rFonts w:hint="eastAsia"/>
        </w:rPr>
        <w:t>建议：</w:t>
      </w:r>
      <w:r w:rsidRPr="00B66CCE">
        <w:rPr>
          <w:rFonts w:hint="eastAsia"/>
        </w:rPr>
        <w:t>通过开展现场宣讲、媒体平台宣传，以及张贴宣传海报、发放宣传册、明白纸等形式，持续深入开展政策宣传，引导公众关注、参与、支持</w:t>
      </w:r>
      <w:r w:rsidRPr="00B66CCE">
        <w:rPr>
          <w:rFonts w:cs="仿宋" w:hint="eastAsia"/>
        </w:rPr>
        <w:t>特困人员补助救助工作。通过宣传，进一步提升</w:t>
      </w:r>
      <w:r w:rsidRPr="00B66CCE">
        <w:rPr>
          <w:rFonts w:hint="eastAsia"/>
        </w:rPr>
        <w:t>政策的知晓度，让特</w:t>
      </w:r>
      <w:r w:rsidRPr="00B66CCE">
        <w:rPr>
          <w:rFonts w:hint="eastAsia"/>
        </w:rPr>
        <w:t>困人员求助有门、受助及时。</w:t>
      </w:r>
    </w:p>
    <w:p w14:paraId="3DE3618B" w14:textId="77777777" w:rsidR="006450BE" w:rsidRPr="00B66CCE" w:rsidRDefault="006450BE">
      <w:pPr>
        <w:pStyle w:val="af0"/>
      </w:pPr>
    </w:p>
    <w:p w14:paraId="5721E2F1" w14:textId="77777777" w:rsidR="006450BE" w:rsidRPr="00B66CCE" w:rsidRDefault="006450BE">
      <w:pPr>
        <w:pStyle w:val="af0"/>
      </w:pPr>
    </w:p>
    <w:p w14:paraId="4A0C2266" w14:textId="77777777" w:rsidR="006450BE" w:rsidRPr="00B66CCE" w:rsidRDefault="0023482D">
      <w:pPr>
        <w:pStyle w:val="af0"/>
        <w:ind w:firstLineChars="200" w:firstLine="640"/>
      </w:pPr>
      <w:r w:rsidRPr="00B66CCE">
        <w:rPr>
          <w:rFonts w:hint="eastAsia"/>
        </w:rPr>
        <w:t>附表</w:t>
      </w:r>
      <w:r w:rsidRPr="00B66CCE">
        <w:rPr>
          <w:rFonts w:hint="eastAsia"/>
        </w:rPr>
        <w:t>1</w:t>
      </w:r>
      <w:r w:rsidRPr="00B66CCE">
        <w:rPr>
          <w:rFonts w:hint="eastAsia"/>
        </w:rPr>
        <w:t>：</w:t>
      </w:r>
      <w:r w:rsidRPr="00B66CCE">
        <w:rPr>
          <w:rFonts w:hint="eastAsia"/>
        </w:rPr>
        <w:t>2020</w:t>
      </w:r>
      <w:r w:rsidRPr="00B66CCE">
        <w:rPr>
          <w:rFonts w:hint="eastAsia"/>
        </w:rPr>
        <w:t>年度惠来县特困人员补助救助项目绩效评价表</w:t>
      </w:r>
    </w:p>
    <w:p w14:paraId="4E907DA4" w14:textId="77777777" w:rsidR="006450BE" w:rsidRPr="00B66CCE" w:rsidRDefault="006450BE">
      <w:pPr>
        <w:spacing w:line="360" w:lineRule="auto"/>
        <w:ind w:firstLineChars="200" w:firstLine="560"/>
        <w:rPr>
          <w:sz w:val="28"/>
          <w:szCs w:val="28"/>
        </w:rPr>
      </w:pPr>
    </w:p>
    <w:p w14:paraId="1830ED93" w14:textId="77777777" w:rsidR="006450BE" w:rsidRPr="00B66CCE" w:rsidRDefault="006450BE">
      <w:pPr>
        <w:spacing w:line="360" w:lineRule="auto"/>
        <w:rPr>
          <w:sz w:val="28"/>
          <w:szCs w:val="28"/>
        </w:rPr>
      </w:pPr>
    </w:p>
    <w:p w14:paraId="2816D095" w14:textId="77777777" w:rsidR="006450BE" w:rsidRPr="00B66CCE" w:rsidRDefault="006450BE">
      <w:pPr>
        <w:spacing w:line="360" w:lineRule="auto"/>
        <w:ind w:firstLineChars="200" w:firstLine="560"/>
        <w:rPr>
          <w:sz w:val="28"/>
          <w:szCs w:val="28"/>
        </w:rPr>
      </w:pPr>
    </w:p>
    <w:p w14:paraId="0E4CB61B" w14:textId="77777777" w:rsidR="006450BE" w:rsidRPr="00B66CCE" w:rsidRDefault="0023482D">
      <w:pPr>
        <w:pStyle w:val="af0"/>
        <w:jc w:val="right"/>
      </w:pPr>
      <w:r w:rsidRPr="00B66CCE">
        <w:rPr>
          <w:rFonts w:hint="eastAsia"/>
        </w:rPr>
        <w:t>广州成鹏会计师事务所（普通合伙）</w:t>
      </w:r>
    </w:p>
    <w:p w14:paraId="2FF2D259" w14:textId="77777777" w:rsidR="006450BE" w:rsidRPr="00B66CCE" w:rsidRDefault="0023482D">
      <w:pPr>
        <w:pStyle w:val="af0"/>
        <w:ind w:right="1280"/>
        <w:jc w:val="right"/>
      </w:pPr>
      <w:r w:rsidRPr="00B66CCE">
        <w:rPr>
          <w:rFonts w:hint="eastAsia"/>
        </w:rPr>
        <w:t>2021</w:t>
      </w:r>
      <w:r w:rsidRPr="00B66CCE">
        <w:rPr>
          <w:rFonts w:hint="eastAsia"/>
        </w:rPr>
        <w:t>年</w:t>
      </w:r>
      <w:r w:rsidRPr="00B66CCE">
        <w:rPr>
          <w:rFonts w:hint="eastAsia"/>
        </w:rPr>
        <w:t>12</w:t>
      </w:r>
      <w:r w:rsidRPr="00B66CCE">
        <w:rPr>
          <w:rFonts w:hint="eastAsia"/>
        </w:rPr>
        <w:t>月</w:t>
      </w:r>
      <w:r w:rsidRPr="00B66CCE">
        <w:rPr>
          <w:rFonts w:hint="eastAsia"/>
        </w:rPr>
        <w:t>2</w:t>
      </w:r>
      <w:r w:rsidRPr="00B66CCE">
        <w:t>8</w:t>
      </w:r>
      <w:r w:rsidRPr="00B66CCE">
        <w:rPr>
          <w:rFonts w:hint="eastAsia"/>
        </w:rPr>
        <w:t>日</w:t>
      </w:r>
    </w:p>
    <w:sectPr w:rsidR="006450BE" w:rsidRPr="00B66CCE">
      <w:footerReference w:type="default" r:id="rId10"/>
      <w:pgSz w:w="11906" w:h="16838"/>
      <w:pgMar w:top="1440" w:right="141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4E1E" w14:textId="77777777" w:rsidR="0023482D" w:rsidRDefault="0023482D">
      <w:r>
        <w:separator/>
      </w:r>
    </w:p>
  </w:endnote>
  <w:endnote w:type="continuationSeparator" w:id="0">
    <w:p w14:paraId="20140044" w14:textId="77777777" w:rsidR="0023482D" w:rsidRDefault="0023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MS UI Gothic">
    <w:panose1 w:val="020B0600070205080204"/>
    <w:charset w:val="80"/>
    <w:family w:val="swiss"/>
    <w:pitch w:val="default"/>
    <w:sig w:usb0="E00002FF" w:usb1="6AC7FDFB" w:usb2="08000012" w:usb3="00000000" w:csb0="4002009F" w:csb1="DFD7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33C8" w14:textId="77777777" w:rsidR="006450BE" w:rsidRDefault="006450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279298"/>
    </w:sdtPr>
    <w:sdtEndPr/>
    <w:sdtContent>
      <w:p w14:paraId="326E84E8" w14:textId="77777777" w:rsidR="006450BE" w:rsidRDefault="0023482D">
        <w:pPr>
          <w:pStyle w:val="a7"/>
          <w:jc w:val="center"/>
        </w:pPr>
        <w:r>
          <w:fldChar w:fldCharType="begin"/>
        </w:r>
        <w:r>
          <w:instrText>PAGE   \* MERGEFORMAT</w:instrText>
        </w:r>
        <w:r>
          <w:fldChar w:fldCharType="separate"/>
        </w:r>
        <w:r>
          <w:rPr>
            <w:lang w:val="zh-CN"/>
          </w:rPr>
          <w:t>8</w:t>
        </w:r>
        <w:r>
          <w:fldChar w:fldCharType="end"/>
        </w:r>
      </w:p>
    </w:sdtContent>
  </w:sdt>
  <w:p w14:paraId="54ED9950" w14:textId="77777777" w:rsidR="006450BE" w:rsidRDefault="006450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DA05" w14:textId="77777777" w:rsidR="0023482D" w:rsidRDefault="0023482D">
      <w:r>
        <w:separator/>
      </w:r>
    </w:p>
  </w:footnote>
  <w:footnote w:type="continuationSeparator" w:id="0">
    <w:p w14:paraId="2EB14145" w14:textId="77777777" w:rsidR="0023482D" w:rsidRDefault="0023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F87BA3"/>
    <w:multiLevelType w:val="singleLevel"/>
    <w:tmpl w:val="98F87BA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M0MjQyZjU5ODM0ZGQ4MDQ5ZGJjYzA1ZDg0M2ExODMifQ=="/>
  </w:docVars>
  <w:rsids>
    <w:rsidRoot w:val="00C348F5"/>
    <w:rsid w:val="000064E7"/>
    <w:rsid w:val="00026159"/>
    <w:rsid w:val="0003097F"/>
    <w:rsid w:val="00034254"/>
    <w:rsid w:val="000366A7"/>
    <w:rsid w:val="00056FA4"/>
    <w:rsid w:val="00063C64"/>
    <w:rsid w:val="0007060F"/>
    <w:rsid w:val="00070B58"/>
    <w:rsid w:val="00073843"/>
    <w:rsid w:val="00083BD0"/>
    <w:rsid w:val="000B263D"/>
    <w:rsid w:val="000C1F26"/>
    <w:rsid w:val="000D1D34"/>
    <w:rsid w:val="000D5F52"/>
    <w:rsid w:val="000F0E55"/>
    <w:rsid w:val="001038FB"/>
    <w:rsid w:val="00121057"/>
    <w:rsid w:val="001221F4"/>
    <w:rsid w:val="00127114"/>
    <w:rsid w:val="00145139"/>
    <w:rsid w:val="00145462"/>
    <w:rsid w:val="00173B9F"/>
    <w:rsid w:val="001757DE"/>
    <w:rsid w:val="001776D0"/>
    <w:rsid w:val="00186844"/>
    <w:rsid w:val="0019784E"/>
    <w:rsid w:val="001F6C7D"/>
    <w:rsid w:val="0023482D"/>
    <w:rsid w:val="0024158F"/>
    <w:rsid w:val="00271D83"/>
    <w:rsid w:val="002752CD"/>
    <w:rsid w:val="00275BDE"/>
    <w:rsid w:val="0027772D"/>
    <w:rsid w:val="00277C32"/>
    <w:rsid w:val="00283A28"/>
    <w:rsid w:val="002913AD"/>
    <w:rsid w:val="002A2238"/>
    <w:rsid w:val="002A6C3B"/>
    <w:rsid w:val="002B70CE"/>
    <w:rsid w:val="002C6B8B"/>
    <w:rsid w:val="002E3C61"/>
    <w:rsid w:val="00315A74"/>
    <w:rsid w:val="00316991"/>
    <w:rsid w:val="003413E1"/>
    <w:rsid w:val="003B316C"/>
    <w:rsid w:val="003C20D0"/>
    <w:rsid w:val="003F591C"/>
    <w:rsid w:val="00412F47"/>
    <w:rsid w:val="00460AB8"/>
    <w:rsid w:val="004622D9"/>
    <w:rsid w:val="004B17EA"/>
    <w:rsid w:val="004C53CB"/>
    <w:rsid w:val="004E1418"/>
    <w:rsid w:val="004E5307"/>
    <w:rsid w:val="004E737E"/>
    <w:rsid w:val="00526EEF"/>
    <w:rsid w:val="0053289A"/>
    <w:rsid w:val="00550706"/>
    <w:rsid w:val="0056376D"/>
    <w:rsid w:val="00595BD9"/>
    <w:rsid w:val="006362C7"/>
    <w:rsid w:val="00643EBD"/>
    <w:rsid w:val="006450BE"/>
    <w:rsid w:val="00656141"/>
    <w:rsid w:val="00664BAF"/>
    <w:rsid w:val="00674806"/>
    <w:rsid w:val="006825B3"/>
    <w:rsid w:val="00687D04"/>
    <w:rsid w:val="006B7BC1"/>
    <w:rsid w:val="006C47AF"/>
    <w:rsid w:val="006C513F"/>
    <w:rsid w:val="006E5709"/>
    <w:rsid w:val="006F2D6F"/>
    <w:rsid w:val="00700D0D"/>
    <w:rsid w:val="00704B6A"/>
    <w:rsid w:val="0070569E"/>
    <w:rsid w:val="00712F87"/>
    <w:rsid w:val="0071626E"/>
    <w:rsid w:val="00720992"/>
    <w:rsid w:val="007348C1"/>
    <w:rsid w:val="007473A1"/>
    <w:rsid w:val="00750E84"/>
    <w:rsid w:val="00756F4C"/>
    <w:rsid w:val="00771904"/>
    <w:rsid w:val="0079298C"/>
    <w:rsid w:val="0079584B"/>
    <w:rsid w:val="00796000"/>
    <w:rsid w:val="00796B08"/>
    <w:rsid w:val="007C4EA5"/>
    <w:rsid w:val="007C6769"/>
    <w:rsid w:val="007D782C"/>
    <w:rsid w:val="007E12F3"/>
    <w:rsid w:val="007E3FF3"/>
    <w:rsid w:val="007F0FD7"/>
    <w:rsid w:val="007F619A"/>
    <w:rsid w:val="008100AB"/>
    <w:rsid w:val="00810982"/>
    <w:rsid w:val="00813696"/>
    <w:rsid w:val="0081785D"/>
    <w:rsid w:val="008255ED"/>
    <w:rsid w:val="00830A71"/>
    <w:rsid w:val="00835073"/>
    <w:rsid w:val="00860655"/>
    <w:rsid w:val="00884CDB"/>
    <w:rsid w:val="008B5786"/>
    <w:rsid w:val="008C050B"/>
    <w:rsid w:val="008C607A"/>
    <w:rsid w:val="008C67C0"/>
    <w:rsid w:val="00904530"/>
    <w:rsid w:val="009066EA"/>
    <w:rsid w:val="009227CA"/>
    <w:rsid w:val="009239A1"/>
    <w:rsid w:val="009361DD"/>
    <w:rsid w:val="00957F9E"/>
    <w:rsid w:val="009748A6"/>
    <w:rsid w:val="00991878"/>
    <w:rsid w:val="009A4037"/>
    <w:rsid w:val="009A7077"/>
    <w:rsid w:val="009D34DD"/>
    <w:rsid w:val="00A00733"/>
    <w:rsid w:val="00A06FF9"/>
    <w:rsid w:val="00A14ED9"/>
    <w:rsid w:val="00A37B25"/>
    <w:rsid w:val="00A44576"/>
    <w:rsid w:val="00A71CDB"/>
    <w:rsid w:val="00A7746B"/>
    <w:rsid w:val="00A9105D"/>
    <w:rsid w:val="00AD51C3"/>
    <w:rsid w:val="00AF032F"/>
    <w:rsid w:val="00AF5B01"/>
    <w:rsid w:val="00B15991"/>
    <w:rsid w:val="00B30EB5"/>
    <w:rsid w:val="00B352DF"/>
    <w:rsid w:val="00B435E7"/>
    <w:rsid w:val="00B66CCE"/>
    <w:rsid w:val="00B6765F"/>
    <w:rsid w:val="00B80EF5"/>
    <w:rsid w:val="00B81189"/>
    <w:rsid w:val="00B81518"/>
    <w:rsid w:val="00B92050"/>
    <w:rsid w:val="00B92115"/>
    <w:rsid w:val="00B97582"/>
    <w:rsid w:val="00BB0D7A"/>
    <w:rsid w:val="00BB45D2"/>
    <w:rsid w:val="00BC48EB"/>
    <w:rsid w:val="00C03416"/>
    <w:rsid w:val="00C07506"/>
    <w:rsid w:val="00C302B4"/>
    <w:rsid w:val="00C348F5"/>
    <w:rsid w:val="00C36909"/>
    <w:rsid w:val="00C4286E"/>
    <w:rsid w:val="00C47391"/>
    <w:rsid w:val="00C838B4"/>
    <w:rsid w:val="00C85F42"/>
    <w:rsid w:val="00C86044"/>
    <w:rsid w:val="00CA01DC"/>
    <w:rsid w:val="00CC15A2"/>
    <w:rsid w:val="00D47D66"/>
    <w:rsid w:val="00D6540A"/>
    <w:rsid w:val="00D72075"/>
    <w:rsid w:val="00D739AB"/>
    <w:rsid w:val="00DD077F"/>
    <w:rsid w:val="00DD5A14"/>
    <w:rsid w:val="00DE3C60"/>
    <w:rsid w:val="00E06D78"/>
    <w:rsid w:val="00E372BF"/>
    <w:rsid w:val="00E533C2"/>
    <w:rsid w:val="00E5351F"/>
    <w:rsid w:val="00E74FE5"/>
    <w:rsid w:val="00E90A7A"/>
    <w:rsid w:val="00EA0BA1"/>
    <w:rsid w:val="00EA6989"/>
    <w:rsid w:val="00ED003E"/>
    <w:rsid w:val="00ED07E6"/>
    <w:rsid w:val="00ED4139"/>
    <w:rsid w:val="00EE4321"/>
    <w:rsid w:val="00F20F6F"/>
    <w:rsid w:val="00F212F0"/>
    <w:rsid w:val="00F249E5"/>
    <w:rsid w:val="00F66AA0"/>
    <w:rsid w:val="00F74A6D"/>
    <w:rsid w:val="00F80ECB"/>
    <w:rsid w:val="00FE4C2B"/>
    <w:rsid w:val="04D479A8"/>
    <w:rsid w:val="09B94777"/>
    <w:rsid w:val="0CA908BB"/>
    <w:rsid w:val="1253168C"/>
    <w:rsid w:val="129F40B5"/>
    <w:rsid w:val="12CB5062"/>
    <w:rsid w:val="18381BE2"/>
    <w:rsid w:val="2490596D"/>
    <w:rsid w:val="24DB0D45"/>
    <w:rsid w:val="2B625E3C"/>
    <w:rsid w:val="457E0C77"/>
    <w:rsid w:val="6A6F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D66E"/>
  <w15:docId w15:val="{C808CB0D-A4B0-47CC-AF47-E8CCE637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qFormat/>
    <w:pPr>
      <w:spacing w:before="100" w:beforeAutospacing="1" w:after="100" w:afterAutospacing="1"/>
      <w:jc w:val="left"/>
    </w:pPr>
    <w:rPr>
      <w:rFonts w:ascii="Times New Roman" w:eastAsia="宋体" w:hAnsi="Times New Roman" w:cs="Times New Roman"/>
      <w:kern w:val="0"/>
      <w:sz w:val="24"/>
      <w:szCs w:val="24"/>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af0">
    <w:name w:val="三级标题正文"/>
    <w:basedOn w:val="a"/>
    <w:link w:val="af1"/>
    <w:qFormat/>
    <w:pPr>
      <w:spacing w:line="360" w:lineRule="auto"/>
    </w:pPr>
    <w:rPr>
      <w:rFonts w:ascii="仿宋" w:eastAsia="仿宋" w:hAnsi="仿宋"/>
      <w:sz w:val="32"/>
      <w:szCs w:val="32"/>
    </w:rPr>
  </w:style>
  <w:style w:type="paragraph" w:customStyle="1" w:styleId="af2">
    <w:name w:val="一级标题"/>
    <w:basedOn w:val="a"/>
    <w:link w:val="af3"/>
    <w:qFormat/>
    <w:pPr>
      <w:ind w:firstLineChars="196" w:firstLine="627"/>
    </w:pPr>
    <w:rPr>
      <w:rFonts w:ascii="黑体" w:eastAsia="黑体" w:hAnsi="黑体"/>
      <w:sz w:val="32"/>
      <w:szCs w:val="32"/>
    </w:rPr>
  </w:style>
  <w:style w:type="character" w:customStyle="1" w:styleId="af1">
    <w:name w:val="三级标题正文 字符"/>
    <w:basedOn w:val="a0"/>
    <w:link w:val="af0"/>
    <w:qFormat/>
    <w:rPr>
      <w:rFonts w:ascii="仿宋" w:eastAsia="仿宋" w:hAnsi="仿宋"/>
      <w:sz w:val="32"/>
      <w:szCs w:val="32"/>
    </w:rPr>
  </w:style>
  <w:style w:type="paragraph" w:customStyle="1" w:styleId="af4">
    <w:name w:val="二级标题"/>
    <w:basedOn w:val="a"/>
    <w:link w:val="af5"/>
    <w:qFormat/>
    <w:pPr>
      <w:ind w:firstLineChars="150" w:firstLine="480"/>
    </w:pPr>
    <w:rPr>
      <w:rFonts w:ascii="楷体" w:eastAsia="楷体" w:hAnsi="楷体"/>
      <w:sz w:val="32"/>
      <w:szCs w:val="32"/>
    </w:rPr>
  </w:style>
  <w:style w:type="character" w:customStyle="1" w:styleId="af3">
    <w:name w:val="一级标题 字符"/>
    <w:basedOn w:val="a0"/>
    <w:link w:val="af2"/>
    <w:qFormat/>
    <w:rPr>
      <w:rFonts w:ascii="黑体" w:eastAsia="黑体" w:hAnsi="黑体"/>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f5">
    <w:name w:val="二级标题 字符"/>
    <w:basedOn w:val="a0"/>
    <w:link w:val="af4"/>
    <w:qFormat/>
    <w:rPr>
      <w:rFonts w:ascii="楷体" w:eastAsia="楷体" w:hAnsi="楷体"/>
      <w:sz w:val="32"/>
      <w:szCs w:val="32"/>
    </w:rPr>
  </w:style>
  <w:style w:type="character" w:customStyle="1" w:styleId="30">
    <w:name w:val="标题 3 字符"/>
    <w:basedOn w:val="a0"/>
    <w:link w:val="3"/>
    <w:uiPriority w:val="9"/>
    <w:semiHidden/>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F29A-E4D9-4842-AC3F-4E3836C7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fan jiahao</cp:lastModifiedBy>
  <cp:revision>89</cp:revision>
  <dcterms:created xsi:type="dcterms:W3CDTF">2021-12-24T01:01:00Z</dcterms:created>
  <dcterms:modified xsi:type="dcterms:W3CDTF">2022-07-27T01:26:00Z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DCC7A47F2C7B4E00B73545DCBB89152A</vt:lpwstr>
  </property>
</Properties>
</file>