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38FE6">
      <w:pPr>
        <w:rPr>
          <w:rFonts w:ascii="华文楷体" w:hAnsi="华文楷体" w:eastAsia="华文楷体"/>
          <w:color w:val="auto"/>
          <w:sz w:val="30"/>
          <w:szCs w:val="30"/>
        </w:rPr>
      </w:pPr>
    </w:p>
    <w:p w14:paraId="345A0C8D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 w14:paraId="741FB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惠来县水利局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关于公开征集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水利领域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涉企行政执法突出问题线索的公告</w:t>
      </w:r>
    </w:p>
    <w:p w14:paraId="21836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</w:rPr>
      </w:pPr>
    </w:p>
    <w:p w14:paraId="335F0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为全面规范涉企行政执法行为，切实减轻企业负担，优化法治化营商环境。现就公开征集涉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企行政执法突出问题线索有关事项公告如下。</w:t>
      </w:r>
    </w:p>
    <w:p w14:paraId="5ED94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一、线索征集范围</w:t>
      </w:r>
    </w:p>
    <w:p w14:paraId="37BBA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</w:rPr>
        <w:t>（</w:t>
      </w: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eastAsia="zh-CN"/>
        </w:rPr>
        <w:t>一</w:t>
      </w: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</w:rPr>
        <w:t>）乱收费问题。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违规设立收费项目，公示项目收费不规范，提高收费标准；变相强制行政相对人接受有偿服务、指定购买；不按要求执行国家和地方已出台的惠企收费政策等情形。</w:t>
      </w:r>
    </w:p>
    <w:p w14:paraId="1AD1B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</w:rPr>
        <w:t>（</w:t>
      </w: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eastAsia="zh-CN"/>
        </w:rPr>
        <w:t>二</w:t>
      </w: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</w:rPr>
        <w:t>）乱罚款问题。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超出法定权限或范围进行罚款；未规范执行裁量权基准，随意进行大额顶格处罚；重复处罚；罚没收入异常增长；过度罚款，不适用相关法律规定给予减轻处罚、免予处罚，类案不同罚、过罚不相当、畸轻畸重等情形。</w:t>
      </w:r>
    </w:p>
    <w:p w14:paraId="587FE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</w:rPr>
        <w:t>（</w:t>
      </w: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eastAsia="zh-CN"/>
        </w:rPr>
        <w:t>三</w:t>
      </w: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</w:rPr>
        <w:t>）乱检查问题。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施检查主体不适格；超越法定职责开展检查；行政检查事项未经公布；执法扰企，多头检查、多层检查、重复检查，对同一主体检查明显超过合理频次；随意检查，检查程序不合法，检查“走过场”，运动式检查等情形。</w:t>
      </w:r>
    </w:p>
    <w:p w14:paraId="2B3ED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</w:rPr>
        <w:t>（</w:t>
      </w: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eastAsia="zh-CN"/>
        </w:rPr>
        <w:t>四</w:t>
      </w: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</w:rPr>
        <w:t>）乱查封问题。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滥用行政强制措施，超权限、超范围、超额度、超时限查封涉案财产等情形。</w:t>
      </w:r>
    </w:p>
    <w:p w14:paraId="6A16A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</w:rPr>
        <w:t>（</w:t>
      </w: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eastAsia="zh-CN"/>
        </w:rPr>
        <w:t>五</w:t>
      </w: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</w:rPr>
        <w:t>）违规异地执法问题。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超越法定管辖范围，对非本辖区的行政相对人进行执法活动；利用行政执法手段插手异地的经济纠纷；未履行协作程序或超越协作权限在异地开展执法等情形。</w:t>
      </w:r>
    </w:p>
    <w:p w14:paraId="392F2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</w:rPr>
        <w:t>（</w:t>
      </w: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eastAsia="zh-CN"/>
        </w:rPr>
        <w:t>六</w:t>
      </w: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</w:rPr>
        <w:t>）趋利性执法问题。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下达或变相下达行政罚没款、执法数量考核指标；为增加行政罚没收入脱离实际监管随意设置电子技术监控设备；将行政罚没收入与本单位业务经费、福利待遇挂钩；违规预收、私自截留罚没款，违反“罚缴分离”规定等情形。</w:t>
      </w:r>
    </w:p>
    <w:p w14:paraId="3D58F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</w:rPr>
        <w:t>（七）其他问题。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吃拿卡要，收受或索取财物；指定购买商品服务、接受有偿服务；办关系案、人情案、金钱案等以权谋私、权力寻租的问题等情形。</w:t>
      </w:r>
    </w:p>
    <w:p w14:paraId="3A248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二、线索反映渠道</w:t>
      </w:r>
    </w:p>
    <w:p w14:paraId="27997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受理时限自本公告发布之日起至2025年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09DC5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投诉举报电话：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0663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-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6614271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（工作日上午8:30-11:30 下午1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:30-17:00）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359C6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电子邮件投诉举报：请将相关情况发送至电子邮箱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hlxszy@163.com；</w:t>
      </w:r>
    </w:p>
    <w:p w14:paraId="20761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信函或当面举报地址：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惠来县惠城镇南门西路12号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，邮编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515200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30B21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三、注意事项</w:t>
      </w:r>
    </w:p>
    <w:p w14:paraId="7AA24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为方便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反映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问题，提高线索质量，便于有效核实查办，请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按照附件表格格式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反映问题线索。</w:t>
      </w:r>
    </w:p>
    <w:p w14:paraId="0BEDC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提倡实名反映问题线索，受理部门将对反映人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意愿对反映的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相关信息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保密。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反映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人应当如实反映情况，对所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反映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的内容真实性负责，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不得虚构、夸大、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捏造事实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，对借机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诬告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陷害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行为，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交有关机关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依法追究责任。</w:t>
      </w:r>
    </w:p>
    <w:p w14:paraId="03E66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已由纪检监察机关、信访等部门受理，或已申请行政复议和进入司法程序的相关问题线索，不纳入本次线索受理征集范围。</w:t>
      </w:r>
    </w:p>
    <w:p w14:paraId="7D287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欢迎广大企业群众积极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反映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相关问题线索！感谢社会各界对涉企行政执法工作的关心支持和协助配合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！</w:t>
      </w:r>
    </w:p>
    <w:p w14:paraId="3C799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A37E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《涉企行政执法问题线索填写表》</w:t>
      </w:r>
    </w:p>
    <w:p w14:paraId="67553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60D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50A2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FD0FD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惠来县水利局   </w:t>
      </w:r>
    </w:p>
    <w:p w14:paraId="28A7DE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2025年5月29日 </w:t>
      </w:r>
    </w:p>
    <w:p w14:paraId="46B5F40C">
      <w:pPr>
        <w:widowControl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15EF95-7E50-408A-9A41-5E652ED807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31377CA-E6D5-49B2-AC7E-ED6C5DC79E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F78C32A-3AEC-4847-A7A4-3C9DF2BE1F5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5087EAD3-E2FC-46D0-B33F-4BDE35D08D2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95E13A6-F8F4-44E8-B2C8-2E66E39447A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1B2E2A7C-A6FB-49CA-8122-88A147CCA6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16669">
    <w:pPr>
      <w:pStyle w:val="11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7DBB0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67DBB0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2832B60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EAA5E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3ACD7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CE2CB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698FA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D2"/>
    <w:rsid w:val="002538D2"/>
    <w:rsid w:val="004553DB"/>
    <w:rsid w:val="004A7761"/>
    <w:rsid w:val="0077788F"/>
    <w:rsid w:val="00AA21D5"/>
    <w:rsid w:val="00D2654F"/>
    <w:rsid w:val="00E32B1F"/>
    <w:rsid w:val="00FA644F"/>
    <w:rsid w:val="02C35494"/>
    <w:rsid w:val="04D7667E"/>
    <w:rsid w:val="055C132D"/>
    <w:rsid w:val="09E9146D"/>
    <w:rsid w:val="167C6466"/>
    <w:rsid w:val="18363C5F"/>
    <w:rsid w:val="1A1A1193"/>
    <w:rsid w:val="24C5632C"/>
    <w:rsid w:val="261A696E"/>
    <w:rsid w:val="2D2E43B4"/>
    <w:rsid w:val="2DE75388"/>
    <w:rsid w:val="33D17A1D"/>
    <w:rsid w:val="3DEDD9B4"/>
    <w:rsid w:val="4A3B47D7"/>
    <w:rsid w:val="4CB608EF"/>
    <w:rsid w:val="5BDB7A2A"/>
    <w:rsid w:val="603614DC"/>
    <w:rsid w:val="6455050E"/>
    <w:rsid w:val="70492079"/>
    <w:rsid w:val="711315BD"/>
    <w:rsid w:val="7D8F646F"/>
    <w:rsid w:val="BD979B09"/>
    <w:rsid w:val="FD7D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1096</Words>
  <Characters>1131</Characters>
  <Lines>9</Lines>
  <Paragraphs>2</Paragraphs>
  <TotalTime>17</TotalTime>
  <ScaleCrop>false</ScaleCrop>
  <LinksUpToDate>false</LinksUpToDate>
  <CharactersWithSpaces>1165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2025-04-11T08:58:00Z</dcterms:created>
  <dc:creator>office</dc:creator>
  <cp:lastModifiedBy>Administrator</cp:lastModifiedBy>
  <cp:lastPrinted>2025-05-29T01:43:51Z</cp:lastPrinted>
  <dcterms:modified xsi:type="dcterms:W3CDTF">2025-05-29T01:49:04Z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0E1EA4681CBA419589C9B5A81DEE0361_13</vt:lpwstr>
  </property>
  <property fmtid="{D5CDD505-2E9C-101B-9397-08002B2CF9AE}" pid="4" name="KSOTemplateDocerSaveRecord">
    <vt:lpwstr>eyJoZGlkIjoiNDhkYzg5ZjYyYTQyNjI4NTkwMjFlYWE0YTA5MGM5YjAifQ==</vt:lpwstr>
  </property>
</Properties>
</file>