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5A488">
      <w:pPr>
        <w:pStyle w:val="9"/>
        <w:spacing w:line="570" w:lineRule="exact"/>
        <w:rPr>
          <w:rFonts w:eastAsia="方正小标宋简体"/>
        </w:rPr>
      </w:pPr>
      <w:bookmarkStart w:id="2" w:name="_GoBack"/>
      <w:bookmarkEnd w:id="2"/>
    </w:p>
    <w:p w14:paraId="527D5C52">
      <w:pPr>
        <w:pStyle w:val="9"/>
        <w:spacing w:line="570" w:lineRule="exact"/>
        <w:rPr>
          <w:rFonts w:eastAsia="方正小标宋简体"/>
        </w:rPr>
      </w:pPr>
      <w:r>
        <w:rPr>
          <w:rFonts w:hint="eastAsia" w:eastAsia="方正小标宋简体"/>
        </w:rPr>
        <w:t>鳌江镇党委</w:t>
      </w:r>
      <w:r>
        <w:rPr>
          <w:rFonts w:eastAsia="方正小标宋简体"/>
        </w:rPr>
        <w:t>关于</w:t>
      </w:r>
      <w:r>
        <w:rPr>
          <w:rFonts w:hint="eastAsia" w:eastAsia="方正小标宋简体"/>
        </w:rPr>
        <w:t>“百千万工程”专项</w:t>
      </w:r>
      <w:r>
        <w:rPr>
          <w:rFonts w:eastAsia="方正小标宋简体"/>
        </w:rPr>
        <w:t>巡察</w:t>
      </w:r>
      <w:r>
        <w:rPr>
          <w:rFonts w:hint="eastAsia" w:eastAsia="方正小标宋简体"/>
        </w:rPr>
        <w:t xml:space="preserve">     </w:t>
      </w:r>
      <w:r>
        <w:rPr>
          <w:rFonts w:eastAsia="方正小标宋简体"/>
        </w:rPr>
        <w:t>整改</w:t>
      </w:r>
      <w:r>
        <w:rPr>
          <w:rFonts w:hint="eastAsia" w:eastAsia="方正小标宋简体"/>
        </w:rPr>
        <w:t>进展</w:t>
      </w:r>
      <w:r>
        <w:rPr>
          <w:rFonts w:eastAsia="方正小标宋简体"/>
        </w:rPr>
        <w:t>情况</w:t>
      </w:r>
      <w:r>
        <w:rPr>
          <w:rFonts w:hint="eastAsia" w:eastAsia="方正小标宋简体"/>
        </w:rPr>
        <w:t>的通报</w:t>
      </w:r>
    </w:p>
    <w:p w14:paraId="0FE78979">
      <w:pPr>
        <w:rPr>
          <w:rFonts w:hint="eastAsia"/>
        </w:rPr>
      </w:pPr>
    </w:p>
    <w:p w14:paraId="1E5C7858">
      <w:pPr>
        <w:spacing w:line="57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市委县委上下联动专项巡察工作部署，2024年4月1日至6月28日，县委第四巡察组对鳌江镇进行了“百千万工程”专项巡察。2024年11月1日，市县巡察组向惠来县各镇(场)党委(党组)集中反馈了巡察意见。按照党务公开原则和巡察工作有关要求，现将巡察整改阶段性进展情况予以公布。</w:t>
      </w:r>
    </w:p>
    <w:p w14:paraId="305AEE4B">
      <w:pPr>
        <w:pStyle w:val="6"/>
        <w:spacing w:line="570" w:lineRule="exact"/>
        <w:ind w:firstLine="616"/>
        <w:rPr>
          <w:rFonts w:hint="eastAsia" w:ascii="黑体" w:hAnsi="黑体" w:eastAsia="黑体" w:cs="黑体"/>
          <w:spacing w:val="-6"/>
          <w:kern w:val="0"/>
        </w:rPr>
      </w:pPr>
      <w:r>
        <w:rPr>
          <w:rFonts w:hint="eastAsia" w:ascii="黑体" w:hAnsi="黑体" w:eastAsia="黑体" w:cs="黑体"/>
          <w:spacing w:val="-6"/>
          <w:kern w:val="0"/>
        </w:rPr>
        <w:t>一、党委及主要负责人组织落实整改情况</w:t>
      </w:r>
    </w:p>
    <w:p w14:paraId="2B7474CF">
      <w:pPr>
        <w:pStyle w:val="6"/>
        <w:widowControl/>
        <w:spacing w:line="570" w:lineRule="exact"/>
        <w:ind w:firstLine="616"/>
        <w:rPr>
          <w:rFonts w:hint="eastAsia" w:ascii="仿宋_GB2312" w:hAnsi="仿宋_GB2312" w:cs="仿宋_GB2312"/>
        </w:rPr>
      </w:pPr>
      <w:r>
        <w:rPr>
          <w:rFonts w:hint="eastAsia" w:ascii="仿宋_GB2312" w:hAnsi="仿宋_GB2312" w:cs="仿宋_GB2312"/>
          <w:spacing w:val="-6"/>
        </w:rPr>
        <w:t>遵照县委关于推进巡察整改工作的决策部署，鳌江镇深入贯彻习近平新时代中国特色社会主义思想，全面执行党的二十大及二十届二中、三中全会精神，深刻学习领会习近平总书记视察广东时的重要讲话和指示精神。镇委镇政府对此高度重视、诚恳接受，不回避、不掩饰，认真研究分析，确保及时整改、立即行动。以高度的政治责任感，切实承担起巡察整改的政治责任。为有效推进整改工作，成立了镇委“百千万工程”专项巡察反馈意见整改工作领导小组，由镇委书记担任组长，负责研究部署、统筹调度、协调推进；班子成员履行“一岗双责”，根据职责分工对相关领域的巡察整改问题负责，职能部门和村（社区）根据职责具体负责、解决具体问题；领导小组下设办公室设在镇党政和人大办，负责制定整改方案、协调推进、信息传递等工作。其次，细化整改任务。迅速对巡察反馈的问题进行认真梳理、分类，按照“全覆盖、无遗漏”的原则，严格对照巡察反馈问题和整改建议，逐项研究、逐条落实。再次，强化跟踪落实，认真梳理问题、明确整改内容、目标、责任主体和时限，同时加强跟踪督促，确保整改工作扎实有效，对于典型问题，依法依规处理，加强教育，确保整改到位，绝不遮掩，绝不护短。镇领导班子成员以身作则，率先垂范，带头抓好自身整改，指导分管部门、村（社区）整改。定期组织召开鳌江镇推进县委巡察反馈问题整改工作会议，全面梳理整改成效，督促落实，加速推进重点整改工作。最后，注重标本兼治。将解决巡察反馈问题作为提升基层治理工作水平、推进“百千万工程”的重要抓手，进一步完善了“三资”管理、村集体经济合同整治、强村公司管理。将巡察整改工作与学习贯彻习近平总书记重要讲话精神相结合，与学习贯彻习近平新时代中国特色社会主义思想主题教育相结合。对县委第四巡察组反馈指出的144条问题（镇级4方面14项40条问题、17个村（社区）4方面104条问题），认真梳理、逐项认领，列出问题责任清单，讨论整改工作思路，共制定了215条整改措施。截至目前，镇级40个问题中13个问题已完成整改，村（社区）级104个问题中86个已完成整改，其余问题正在全力以赴推进整改中。简要情况如下：</w:t>
      </w:r>
    </w:p>
    <w:p w14:paraId="2DB20091">
      <w:pPr>
        <w:widowControl/>
        <w:shd w:val="clear" w:color="auto" w:fill="FFFFFF"/>
        <w:spacing w:line="570" w:lineRule="exact"/>
        <w:ind w:firstLine="640"/>
        <w:jc w:val="left"/>
        <w:rPr>
          <w:rFonts w:hint="eastAsia" w:ascii="黑体" w:hAnsi="黑体" w:eastAsia="黑体" w:cs="黑体"/>
          <w:kern w:val="0"/>
        </w:rPr>
      </w:pPr>
      <w:r>
        <w:rPr>
          <w:rFonts w:hint="eastAsia" w:ascii="黑体" w:hAnsi="黑体" w:eastAsia="黑体" w:cs="黑体"/>
          <w:kern w:val="0"/>
        </w:rPr>
        <w:t>二、集中整改进展情况</w:t>
      </w:r>
    </w:p>
    <w:p w14:paraId="20CC8C93">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（一）镇党委统筹谋划“百千万工程”建设仍有差距。</w:t>
      </w:r>
    </w:p>
    <w:p w14:paraId="6239AB55">
      <w:pPr>
        <w:pStyle w:val="6"/>
        <w:spacing w:line="570" w:lineRule="exact"/>
        <w:ind w:firstLine="643"/>
        <w:rPr>
          <w:rFonts w:hint="eastAsia" w:ascii="仿宋_GB2312" w:hAnsi="仿宋_GB2312" w:cs="仿宋_GB2312"/>
          <w:b/>
        </w:rPr>
      </w:pPr>
      <w:r>
        <w:rPr>
          <w:rFonts w:hint="eastAsia" w:ascii="仿宋_GB2312" w:hAnsi="仿宋_GB2312" w:cs="仿宋_GB2312"/>
          <w:b/>
        </w:rPr>
        <w:t>1.镇党委在推进“百千万工程”方面向下传导压力、压实责任上存在力度不够。</w:t>
      </w:r>
    </w:p>
    <w:p w14:paraId="596EC41A">
      <w:pPr>
        <w:pStyle w:val="6"/>
        <w:spacing w:line="570" w:lineRule="exact"/>
        <w:ind w:firstLine="640"/>
        <w:rPr>
          <w:rFonts w:hint="eastAsia" w:ascii="仿宋_GB2312" w:hAnsi="仿宋_GB2312" w:cs="仿宋_GB2312"/>
        </w:rPr>
      </w:pPr>
      <w:r>
        <w:rPr>
          <w:rFonts w:hint="eastAsia" w:ascii="仿宋_GB2312" w:hAnsi="仿宋_GB2312" w:cs="仿宋_GB2312"/>
        </w:rPr>
        <w:t>如新李村巷道硬底化工程、虎堀村“学校面前道路排水改造工程”于2023年入库，至巡察进驻仍未动工；鳌江镇在2023年度惠来县实施“百县千镇万村高质量发展工程”考核中被评为“一般等次”。</w:t>
      </w:r>
    </w:p>
    <w:p w14:paraId="09660CB0">
      <w:pPr>
        <w:pStyle w:val="6"/>
        <w:spacing w:line="570" w:lineRule="exact"/>
        <w:ind w:firstLine="643"/>
        <w:jc w:val="left"/>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bCs/>
        </w:rPr>
        <w:t>(1)2</w:t>
      </w:r>
      <w:r>
        <w:rPr>
          <w:rFonts w:hint="eastAsia" w:ascii="仿宋_GB2312" w:hAnsi="仿宋_GB2312" w:cs="仿宋_GB2312"/>
        </w:rPr>
        <w:t>025年以来召开“百千万工程”专题会议四次，深入研究战法打法。</w:t>
      </w:r>
    </w:p>
    <w:p w14:paraId="2B017D5A">
      <w:pPr>
        <w:pStyle w:val="6"/>
        <w:spacing w:line="570" w:lineRule="exact"/>
        <w:ind w:firstLine="640"/>
        <w:jc w:val="left"/>
        <w:rPr>
          <w:rFonts w:hint="eastAsia" w:ascii="仿宋_GB2312" w:hAnsi="仿宋_GB2312" w:cs="仿宋_GB2312"/>
        </w:rPr>
      </w:pPr>
      <w:r>
        <w:rPr>
          <w:rFonts w:hint="eastAsia" w:ascii="仿宋_GB2312" w:hAnsi="仿宋_GB2312" w:cs="仿宋_GB2312"/>
          <w:bCs/>
        </w:rPr>
        <w:t>(2)</w:t>
      </w:r>
      <w:r>
        <w:rPr>
          <w:rFonts w:hint="eastAsia" w:ascii="仿宋_GB2312" w:hAnsi="仿宋_GB2312" w:cs="仿宋_GB2312"/>
        </w:rPr>
        <w:t>巡察以来召开“百千万工程”专项巡察整改工作会议三次。</w:t>
      </w:r>
    </w:p>
    <w:p w14:paraId="7332AF1F">
      <w:pPr>
        <w:pStyle w:val="6"/>
        <w:spacing w:line="570" w:lineRule="exact"/>
        <w:ind w:firstLine="640"/>
        <w:jc w:val="left"/>
        <w:rPr>
          <w:rFonts w:hint="eastAsia" w:ascii="仿宋_GB2312" w:hAnsi="仿宋_GB2312" w:cs="仿宋_GB2312"/>
        </w:rPr>
      </w:pPr>
      <w:r>
        <w:rPr>
          <w:rFonts w:hint="eastAsia" w:ascii="仿宋_GB2312" w:hAnsi="仿宋_GB2312" w:cs="仿宋_GB2312"/>
          <w:bCs/>
        </w:rPr>
        <w:t>(3)</w:t>
      </w:r>
      <w:r>
        <w:rPr>
          <w:rFonts w:hint="eastAsia" w:ascii="仿宋_GB2312" w:hAnsi="仿宋_GB2312" w:cs="仿宋_GB2312"/>
        </w:rPr>
        <w:t xml:space="preserve">进一步优化镇“百千万工程”指挥体系，充实镇指挥办干部队伍，完善办公设备设施配套，提高实体化运作效率。 </w:t>
      </w:r>
    </w:p>
    <w:p w14:paraId="7A7538C3">
      <w:pPr>
        <w:pStyle w:val="6"/>
        <w:spacing w:line="570" w:lineRule="exact"/>
        <w:ind w:firstLine="640"/>
        <w:jc w:val="left"/>
        <w:rPr>
          <w:rFonts w:hint="eastAsia" w:ascii="仿宋_GB2312" w:hAnsi="仿宋_GB2312" w:cs="仿宋_GB2312"/>
        </w:rPr>
      </w:pPr>
      <w:r>
        <w:rPr>
          <w:rFonts w:hint="eastAsia" w:ascii="仿宋_GB2312" w:hAnsi="仿宋_GB2312" w:cs="仿宋_GB2312"/>
          <w:bCs/>
        </w:rPr>
        <w:t>(4)</w:t>
      </w:r>
      <w:r>
        <w:rPr>
          <w:rFonts w:hint="eastAsia" w:ascii="仿宋_GB2312" w:hAnsi="仿宋_GB2312" w:cs="仿宋_GB2312"/>
        </w:rPr>
        <w:t xml:space="preserve">新李村巷道硬底化已在2024年12月完成。虎堀村学校面前道路排水改造因涉及高速涵洞目前尚未开工。 </w:t>
      </w:r>
    </w:p>
    <w:p w14:paraId="7E0F7E75">
      <w:pPr>
        <w:pStyle w:val="6"/>
        <w:spacing w:line="570" w:lineRule="exact"/>
        <w:ind w:firstLine="643" w:firstLineChars="0"/>
        <w:rPr>
          <w:rFonts w:hint="eastAsia" w:ascii="仿宋_GB2312" w:hAnsi="仿宋_GB2312" w:cs="仿宋_GB2312"/>
        </w:rPr>
      </w:pPr>
      <w:r>
        <w:rPr>
          <w:rFonts w:hint="eastAsia" w:ascii="楷体_GB2312" w:hAnsi="楷体_GB2312" w:eastAsia="楷体_GB2312" w:cs="楷体_GB2312"/>
          <w:b/>
        </w:rPr>
        <w:t>（二）镇党委书记作为“一线施工队长”在组织实施“百千万工程”中存在不足。</w:t>
      </w:r>
      <w:r>
        <w:rPr>
          <w:rFonts w:hint="eastAsia" w:ascii="仿宋_GB2312" w:hAnsi="仿宋_GB2312" w:cs="仿宋_GB2312"/>
        </w:rPr>
        <w:t xml:space="preserve">               </w:t>
      </w:r>
    </w:p>
    <w:p w14:paraId="337344D1">
      <w:pPr>
        <w:pStyle w:val="6"/>
        <w:spacing w:line="570" w:lineRule="exact"/>
        <w:ind w:firstLine="643" w:firstLineChars="0"/>
        <w:rPr>
          <w:rFonts w:hint="eastAsia" w:ascii="仿宋_GB2312" w:hAnsi="仿宋_GB2312" w:cs="仿宋_GB2312"/>
          <w:b/>
        </w:rPr>
      </w:pPr>
      <w:r>
        <w:rPr>
          <w:rFonts w:hint="eastAsia" w:ascii="仿宋_GB2312" w:hAnsi="仿宋_GB2312" w:cs="仿宋_GB2312"/>
          <w:b/>
          <w:bCs/>
        </w:rPr>
        <w:t>2.</w:t>
      </w:r>
      <w:r>
        <w:rPr>
          <w:rFonts w:hint="eastAsia" w:ascii="仿宋_GB2312" w:hAnsi="仿宋_GB2312" w:cs="仿宋_GB2312"/>
          <w:b/>
        </w:rPr>
        <w:t>开拓意识不强，谋划推进力度不够。</w:t>
      </w:r>
    </w:p>
    <w:p w14:paraId="6823D892">
      <w:pPr>
        <w:pStyle w:val="6"/>
        <w:spacing w:line="570" w:lineRule="exact"/>
        <w:ind w:firstLine="640"/>
        <w:rPr>
          <w:rFonts w:hint="eastAsia" w:ascii="仿宋_GB2312" w:hAnsi="仿宋_GB2312" w:cs="仿宋_GB2312"/>
        </w:rPr>
      </w:pPr>
      <w:r>
        <w:rPr>
          <w:rFonts w:hint="eastAsia" w:ascii="仿宋_GB2312" w:hAnsi="仿宋_GB2312" w:cs="仿宋_GB2312"/>
        </w:rPr>
        <w:t>如美丽圩镇“七个一”的外立面提升工程建设进度因资金问题推进较慢；龙舟村卫生站在2013年已完成主体建设，至巡察期间未能投入使用。</w:t>
      </w:r>
    </w:p>
    <w:p w14:paraId="4238404A">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鳌江镇积极对接中交四航局，利用央企助力契机，在省道509线累计完成70栋屋檐改造、87栋外立面整治、41栋店招改造，全面提升鳌江整体风貌；龙舟村卫生站已于2024年完成装修并验收，目前已经投入正常使用。</w:t>
      </w:r>
    </w:p>
    <w:p w14:paraId="03073C44">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（三）“百千万工程”指挥部和专班作用发挥不充分。</w:t>
      </w:r>
    </w:p>
    <w:p w14:paraId="479FA6F6">
      <w:pPr>
        <w:pStyle w:val="6"/>
        <w:spacing w:line="570" w:lineRule="exact"/>
        <w:ind w:firstLine="643" w:firstLineChars="0"/>
        <w:rPr>
          <w:rFonts w:hint="eastAsia" w:ascii="仿宋_GB2312" w:hAnsi="仿宋_GB2312" w:cs="仿宋_GB2312"/>
        </w:rPr>
      </w:pPr>
      <w:r>
        <w:rPr>
          <w:rFonts w:hint="eastAsia" w:ascii="仿宋_GB2312" w:hAnsi="仿宋_GB2312" w:cs="仿宋_GB2312"/>
          <w:b/>
          <w:bCs/>
        </w:rPr>
        <w:t>3.</w:t>
      </w:r>
      <w:r>
        <w:rPr>
          <w:rFonts w:hint="eastAsia" w:ascii="仿宋_GB2312" w:hAnsi="仿宋_GB2312" w:cs="仿宋_GB2312"/>
          <w:b/>
        </w:rPr>
        <w:t>指挥部对上级政策理解不够系统透彻。</w:t>
      </w:r>
    </w:p>
    <w:p w14:paraId="52D5164B">
      <w:pPr>
        <w:pStyle w:val="6"/>
        <w:spacing w:line="570" w:lineRule="exact"/>
        <w:ind w:firstLine="640"/>
        <w:rPr>
          <w:rFonts w:hint="eastAsia" w:ascii="仿宋_GB2312" w:hAnsi="仿宋_GB2312" w:cs="仿宋_GB2312"/>
        </w:rPr>
      </w:pPr>
      <w:r>
        <w:rPr>
          <w:rFonts w:hint="eastAsia" w:ascii="仿宋_GB2312" w:hAnsi="仿宋_GB2312" w:cs="仿宋_GB2312"/>
        </w:rPr>
        <w:t>指导农村不够及时，专项研究较粗，作用不够明显。主要原因是对“百千万工程”学习还不够，农村干部文化水平不足，接受知识能力有限，镇培训力度还不够。</w:t>
      </w:r>
    </w:p>
    <w:p w14:paraId="53C50D71">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bCs/>
        </w:rPr>
        <w:t>(1)</w:t>
      </w:r>
      <w:r>
        <w:rPr>
          <w:rFonts w:hint="eastAsia" w:ascii="仿宋_GB2312" w:hAnsi="仿宋_GB2312" w:cs="仿宋_GB2312"/>
        </w:rPr>
        <w:t>强化镇委作为“百千万工程”一线指挥部的政治责任，定期召开指挥部工作会议，深入研究战法打法：加强领导班子建设，压实工作责任，提振干事创业精气神，营造团结协作、争先创优的工作氛围，全力推动“百千万工程”重点任务落地落实。</w:t>
      </w:r>
    </w:p>
    <w:p w14:paraId="49A18BDB">
      <w:pPr>
        <w:pStyle w:val="6"/>
        <w:spacing w:line="570" w:lineRule="exact"/>
        <w:ind w:firstLine="643" w:firstLineChars="0"/>
        <w:rPr>
          <w:rFonts w:hint="eastAsia" w:ascii="仿宋_GB2312" w:hAnsi="仿宋_GB2312" w:cs="仿宋_GB2312"/>
        </w:rPr>
      </w:pPr>
      <w:r>
        <w:rPr>
          <w:rFonts w:hint="eastAsia" w:ascii="仿宋_GB2312" w:hAnsi="仿宋_GB2312" w:cs="仿宋_GB2312"/>
          <w:bCs/>
        </w:rPr>
        <w:t>(2)</w:t>
      </w:r>
      <w:r>
        <w:rPr>
          <w:rFonts w:hint="eastAsia" w:ascii="仿宋_GB2312" w:hAnsi="仿宋_GB2312" w:cs="仿宋_GB2312"/>
        </w:rPr>
        <w:t>压实领导干部挂钩联系村制度，镇领导同志带头将定点联系点作为“百千万工程”责任点，每周至少一次到村协调解决问题，示范带动全镇各级领导干部大抓“百千万工程”。</w:t>
      </w:r>
    </w:p>
    <w:p w14:paraId="557F284C">
      <w:pPr>
        <w:pStyle w:val="6"/>
        <w:spacing w:line="570" w:lineRule="exact"/>
        <w:ind w:firstLine="643" w:firstLineChars="0"/>
        <w:rPr>
          <w:rFonts w:hint="eastAsia" w:ascii="仿宋_GB2312" w:hAnsi="仿宋_GB2312" w:cs="仿宋_GB2312"/>
        </w:rPr>
      </w:pPr>
      <w:r>
        <w:rPr>
          <w:rFonts w:hint="eastAsia" w:ascii="仿宋_GB2312" w:hAnsi="仿宋_GB2312" w:cs="仿宋_GB2312"/>
          <w:bCs/>
        </w:rPr>
        <w:t>(3)</w:t>
      </w:r>
      <w:r>
        <w:rPr>
          <w:rFonts w:hint="eastAsia" w:ascii="仿宋_GB2312" w:hAnsi="仿宋_GB2312" w:cs="仿宋_GB2312"/>
        </w:rPr>
        <w:t>进一步优化镇“百千万工程”指挥体系，充实镇指挥办干部队伍，完善办公设备设施配套，提高实体化运作效率。紧密结合实际，强化文件制定及制度设置的创新性、实用性，督促镇级指挥部加强对重点工作的研究谋划，推动落实，切实发挥镇级工作专班联镇带村作用。</w:t>
      </w:r>
    </w:p>
    <w:p w14:paraId="0A39E05A">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（四）“领头雁”作用发挥不充分。</w:t>
      </w:r>
    </w:p>
    <w:p w14:paraId="69609005">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4.部分村党组织书记未能实现“一肩挑”。</w:t>
      </w:r>
    </w:p>
    <w:p w14:paraId="3881F9EA">
      <w:pPr>
        <w:pStyle w:val="6"/>
        <w:spacing w:line="570" w:lineRule="exact"/>
        <w:ind w:firstLine="640"/>
        <w:rPr>
          <w:rFonts w:hint="eastAsia" w:ascii="仿宋_GB2312" w:hAnsi="仿宋_GB2312" w:cs="仿宋_GB2312"/>
        </w:rPr>
      </w:pPr>
      <w:r>
        <w:rPr>
          <w:rFonts w:hint="eastAsia" w:ascii="仿宋_GB2312" w:hAnsi="仿宋_GB2312" w:cs="仿宋_GB2312"/>
        </w:rPr>
        <w:t>部分村党组织书记未能实现“一肩挑”，如东岱、龙舟、三清、山栗村。</w:t>
      </w:r>
    </w:p>
    <w:p w14:paraId="6D5D67A3">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选优配强各村党组织后备力量，保证各村在换届时都有充足的后备人选。</w:t>
      </w:r>
    </w:p>
    <w:p w14:paraId="335DCC0E">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5.村党支部书记带领致富能力弱缺乏思路。</w:t>
      </w:r>
    </w:p>
    <w:p w14:paraId="306A0808">
      <w:pPr>
        <w:pStyle w:val="6"/>
        <w:spacing w:line="570" w:lineRule="exact"/>
        <w:ind w:firstLine="640"/>
        <w:rPr>
          <w:rFonts w:hint="eastAsia" w:ascii="仿宋_GB2312" w:hAnsi="仿宋_GB2312" w:cs="仿宋_GB2312"/>
        </w:rPr>
      </w:pPr>
      <w:r>
        <w:rPr>
          <w:rFonts w:hint="eastAsia" w:ascii="仿宋_GB2312" w:hAnsi="仿宋_GB2312" w:cs="仿宋_GB2312"/>
        </w:rPr>
        <w:t>16个村其中10村2023年集体经营收入低于10万元。</w:t>
      </w:r>
    </w:p>
    <w:p w14:paraId="6EC2F7AA">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通过全镇三资合同整治工作增加各村集体经济收入。目前全镇16个村集体经济收入都达10万以上。</w:t>
      </w:r>
    </w:p>
    <w:p w14:paraId="48A43004">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（五）“百千万工程”工作宣传发动不够。</w:t>
      </w:r>
    </w:p>
    <w:p w14:paraId="5DD2DBA6">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6.村对宣传工作不重视。</w:t>
      </w:r>
    </w:p>
    <w:p w14:paraId="7D41531B">
      <w:pPr>
        <w:pStyle w:val="6"/>
        <w:spacing w:line="570" w:lineRule="exact"/>
        <w:ind w:firstLine="640"/>
        <w:rPr>
          <w:rFonts w:hint="eastAsia" w:ascii="仿宋_GB2312" w:hAnsi="仿宋_GB2312" w:cs="仿宋_GB2312"/>
        </w:rPr>
      </w:pPr>
      <w:r>
        <w:rPr>
          <w:rFonts w:hint="eastAsia" w:ascii="仿宋_GB2312" w:hAnsi="仿宋_GB2312" w:cs="仿宋_GB2312"/>
        </w:rPr>
        <w:t>如澳下、中澳、虎堀等村宣传氛围不够浓，村宣传栏没有“百千万工程”的宣传内容。</w:t>
      </w:r>
    </w:p>
    <w:p w14:paraId="4E1E30EA">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责令各村完善村“百千万工程”宣传海报，并加强“百千万工程”宣传力度。</w:t>
      </w:r>
    </w:p>
    <w:p w14:paraId="77474F74">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7.群众对“百千万工程”知晓率较低。</w:t>
      </w:r>
    </w:p>
    <w:p w14:paraId="05C01C2A">
      <w:pPr>
        <w:pStyle w:val="6"/>
        <w:spacing w:line="570" w:lineRule="exact"/>
        <w:ind w:firstLine="640"/>
        <w:rPr>
          <w:rFonts w:hint="eastAsia" w:ascii="仿宋_GB2312" w:hAnsi="仿宋_GB2312" w:cs="仿宋_GB2312"/>
        </w:rPr>
      </w:pPr>
      <w:r>
        <w:rPr>
          <w:rFonts w:hint="eastAsia" w:ascii="仿宋_GB2312" w:hAnsi="仿宋_GB2312" w:cs="仿宋_GB2312"/>
        </w:rPr>
        <w:t>随机走访群众68人，其中52人均表示不了解“百千万工程”是做什么。</w:t>
      </w:r>
    </w:p>
    <w:p w14:paraId="36053706">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通过印发传单和海报，入户和进行村村通广播等多种宣传渠道宣传“百千万工程”知识。</w:t>
      </w:r>
    </w:p>
    <w:p w14:paraId="011CAAC3">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（六）落实巡察整改情况不到位。</w:t>
      </w:r>
    </w:p>
    <w:p w14:paraId="43CFBC8D">
      <w:pPr>
        <w:pStyle w:val="6"/>
        <w:spacing w:line="570" w:lineRule="exact"/>
        <w:ind w:firstLine="643"/>
        <w:rPr>
          <w:rFonts w:hint="eastAsia" w:ascii="仿宋_GB2312" w:hAnsi="仿宋_GB2312" w:cs="仿宋_GB2312"/>
          <w:b/>
        </w:rPr>
      </w:pPr>
      <w:r>
        <w:rPr>
          <w:rFonts w:hint="eastAsia" w:ascii="仿宋_GB2312" w:hAnsi="仿宋_GB2312" w:cs="仿宋_GB2312"/>
          <w:b/>
        </w:rPr>
        <w:t>8.中澳村于2020年11月上报建设公厕1座。</w:t>
      </w:r>
    </w:p>
    <w:p w14:paraId="13815288">
      <w:pPr>
        <w:pStyle w:val="6"/>
        <w:spacing w:line="570" w:lineRule="exact"/>
        <w:ind w:firstLine="640"/>
        <w:rPr>
          <w:rFonts w:hint="eastAsia" w:ascii="仿宋_GB2312" w:hAnsi="仿宋_GB2312" w:cs="仿宋_GB2312"/>
        </w:rPr>
      </w:pPr>
      <w:r>
        <w:rPr>
          <w:rFonts w:hint="eastAsia" w:ascii="仿宋_GB2312" w:hAnsi="仿宋_GB2312" w:cs="仿宋_GB2312"/>
        </w:rPr>
        <w:t>上级下达资金合计14.52万元，该问题在十四届县委第四轮巡察工作发现时已要求落实整改，至本轮巡察期间，中澳村公厕仍没有建设，鳌江镇委对上轮巡察发现问题整改落实仍不到位。</w:t>
      </w:r>
    </w:p>
    <w:p w14:paraId="6347DA29">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根据多次选址勘察和综合评估，中澳村没有符合的地方进行公厕建设，于2025年4月把农村厕所革命奖励补助14.52万元退回县财政局。</w:t>
      </w:r>
    </w:p>
    <w:p w14:paraId="56893DEB">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（七）产业高质量发展不平衡，制约经济发展。</w:t>
      </w:r>
    </w:p>
    <w:p w14:paraId="6A195735">
      <w:pPr>
        <w:pStyle w:val="6"/>
        <w:spacing w:line="570" w:lineRule="exact"/>
        <w:ind w:firstLine="643"/>
        <w:rPr>
          <w:rFonts w:hint="eastAsia" w:ascii="仿宋_GB2312" w:hAnsi="仿宋_GB2312" w:cs="仿宋_GB2312"/>
          <w:b/>
        </w:rPr>
      </w:pPr>
      <w:r>
        <w:rPr>
          <w:rFonts w:hint="eastAsia" w:ascii="仿宋_GB2312" w:hAnsi="仿宋_GB2312" w:cs="仿宋_GB2312"/>
          <w:b/>
        </w:rPr>
        <w:t>9.产业发展存短板。</w:t>
      </w:r>
    </w:p>
    <w:p w14:paraId="6933693D">
      <w:pPr>
        <w:pStyle w:val="6"/>
        <w:spacing w:line="570" w:lineRule="exact"/>
        <w:ind w:firstLine="640"/>
        <w:rPr>
          <w:rFonts w:hint="eastAsia" w:ascii="仿宋_GB2312" w:hAnsi="仿宋_GB2312" w:cs="仿宋_GB2312"/>
        </w:rPr>
      </w:pPr>
      <w:r>
        <w:rPr>
          <w:rFonts w:hint="eastAsia" w:ascii="仿宋_GB2312" w:hAnsi="仿宋_GB2312" w:cs="仿宋_GB2312"/>
        </w:rPr>
        <w:t>镇域产业以传统农业为主，生产规模小，二、三产业产值较低，2023年，全镇农业产值约2.21亿元，占比54.6%；工业产值约1.44亿元，占比35.5%；服务业产值0.4亿元，占比9.8%，比例不协调。科技普及和推广不足，村民运用科技提高产量提质增收方面存在短板。大部分产品停留在原产品销售，深加工程度低，产业延伸链条短，增收进度缓慢。</w:t>
      </w:r>
    </w:p>
    <w:p w14:paraId="745932F5">
      <w:pPr>
        <w:pStyle w:val="6"/>
        <w:spacing w:line="570" w:lineRule="exact"/>
        <w:ind w:firstLine="643" w:firstLineChars="0"/>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1.非税收入增长成效显著：</w:t>
      </w:r>
    </w:p>
    <w:p w14:paraId="1D04CD21">
      <w:pPr>
        <w:pStyle w:val="6"/>
        <w:spacing w:line="570" w:lineRule="exact"/>
        <w:ind w:firstLine="643" w:firstLineChars="0"/>
        <w:rPr>
          <w:rFonts w:hint="eastAsia" w:ascii="仿宋_GB2312" w:hAnsi="仿宋_GB2312" w:cs="仿宋_GB2312"/>
        </w:rPr>
      </w:pPr>
      <w:r>
        <w:rPr>
          <w:rFonts w:hint="eastAsia" w:ascii="仿宋_GB2312" w:hAnsi="仿宋_GB2312" w:cs="仿宋_GB2312"/>
        </w:rPr>
        <w:t>（1）行政执法罚没收入：2024年至今共立案61宗，执收金额约138万元。</w:t>
      </w:r>
    </w:p>
    <w:p w14:paraId="5C3E22A9">
      <w:pPr>
        <w:pStyle w:val="6"/>
        <w:spacing w:line="570" w:lineRule="exact"/>
        <w:ind w:firstLine="643" w:firstLineChars="0"/>
        <w:rPr>
          <w:rFonts w:hint="eastAsia" w:ascii="仿宋_GB2312" w:hAnsi="仿宋_GB2312" w:cs="仿宋_GB2312"/>
        </w:rPr>
      </w:pPr>
      <w:r>
        <w:rPr>
          <w:rFonts w:hint="eastAsia" w:ascii="仿宋_GB2312" w:hAnsi="仿宋_GB2312" w:cs="仿宋_GB2312"/>
        </w:rPr>
        <w:t>（2）土地流转项目推进：与广东能源集团有限公司合作，引进龙舟村光伏项目，规划建设80MW光伏，计划总投资约2.6亿元，租赁土地总面积950亩。该项目每年可为村集体带来约133万元的收益。</w:t>
      </w:r>
    </w:p>
    <w:p w14:paraId="56C485A9">
      <w:pPr>
        <w:pStyle w:val="6"/>
        <w:spacing w:line="570" w:lineRule="exact"/>
        <w:ind w:firstLine="643" w:firstLineChars="0"/>
        <w:rPr>
          <w:rFonts w:hint="eastAsia" w:ascii="仿宋_GB2312" w:hAnsi="仿宋_GB2312" w:cs="仿宋_GB2312"/>
        </w:rPr>
      </w:pPr>
      <w:r>
        <w:rPr>
          <w:rFonts w:hint="eastAsia" w:ascii="仿宋_GB2312" w:hAnsi="仿宋_GB2312" w:cs="仿宋_GB2312"/>
        </w:rPr>
        <w:t>2.税源培植与产业升级：</w:t>
      </w:r>
    </w:p>
    <w:p w14:paraId="4C487D2F">
      <w:pPr>
        <w:pStyle w:val="6"/>
        <w:spacing w:line="570" w:lineRule="exact"/>
        <w:ind w:firstLine="643" w:firstLineChars="0"/>
        <w:rPr>
          <w:rFonts w:hint="eastAsia" w:ascii="仿宋_GB2312" w:hAnsi="仿宋_GB2312" w:cs="仿宋_GB2312"/>
        </w:rPr>
      </w:pPr>
      <w:r>
        <w:rPr>
          <w:rFonts w:hint="eastAsia" w:ascii="仿宋_GB2312" w:hAnsi="仿宋_GB2312" w:cs="仿宋_GB2312"/>
        </w:rPr>
        <w:t>（1）推动冬瓜、荔枝、南药等农产品对接东莞润丰集团外销平台，拓宽市场渠道。</w:t>
      </w:r>
    </w:p>
    <w:p w14:paraId="13F75748">
      <w:pPr>
        <w:pStyle w:val="6"/>
        <w:spacing w:line="570" w:lineRule="exact"/>
        <w:ind w:firstLine="643" w:firstLineChars="0"/>
        <w:rPr>
          <w:rFonts w:hint="eastAsia" w:ascii="仿宋_GB2312" w:hAnsi="仿宋_GB2312" w:cs="仿宋_GB2312"/>
        </w:rPr>
      </w:pPr>
      <w:r>
        <w:rPr>
          <w:rFonts w:hint="eastAsia" w:ascii="仿宋_GB2312" w:hAnsi="仿宋_GB2312" w:cs="仿宋_GB2312"/>
        </w:rPr>
        <w:t>（2）开展科技特派员下乡活动6期，覆盖农户80户，推广智能化农业设备应用，初步实现农产品深加工增值。</w:t>
      </w:r>
    </w:p>
    <w:p w14:paraId="12DC2B84">
      <w:pPr>
        <w:pStyle w:val="6"/>
        <w:spacing w:line="570" w:lineRule="exact"/>
        <w:ind w:firstLine="643" w:firstLineChars="0"/>
        <w:rPr>
          <w:rFonts w:hint="eastAsia" w:ascii="仿宋_GB2312" w:hAnsi="仿宋_GB2312" w:cs="仿宋_GB2312"/>
        </w:rPr>
      </w:pPr>
      <w:r>
        <w:rPr>
          <w:rFonts w:hint="eastAsia" w:ascii="仿宋_GB2312" w:hAnsi="仿宋_GB2312" w:cs="仿宋_GB2312"/>
        </w:rPr>
        <w:t>（3）鳌江镇积极引入浙江籍商人，并助力其在鳌江镇注册成立惠来县强东水产养殖有限公司，建设澳下村的南美白对虾养殖基地，目前完成建设1200亩并投产，产值每亩年收益4万元。该项目每年租金240万元，村管理费12万元，提升了村集体和村民经济收益。</w:t>
      </w:r>
    </w:p>
    <w:p w14:paraId="237E2FEF">
      <w:pPr>
        <w:pStyle w:val="6"/>
        <w:spacing w:line="570" w:lineRule="exact"/>
        <w:ind w:firstLine="643" w:firstLineChars="0"/>
        <w:rPr>
          <w:rFonts w:hint="eastAsia" w:ascii="仿宋_GB2312" w:hAnsi="仿宋_GB2312" w:cs="仿宋_GB2312"/>
        </w:rPr>
      </w:pPr>
      <w:r>
        <w:rPr>
          <w:rFonts w:hint="eastAsia" w:ascii="仿宋_GB2312" w:hAnsi="仿宋_GB2312" w:cs="仿宋_GB2312"/>
        </w:rPr>
        <w:t>（4）我镇对接澳上村乡贤，引入“惠来一翔职业技术学校”建设项目，拟选址在澳上村，用地300亩，总建筑面积约20万平方米，计划投资6亿元人民币，将按中等职业学校办学基本要求建设，建成后预计可提供3000个学位。目前惠来一翔职业技术学校建设项目进展顺利，已在广东省投资项目在线审批监管平台备案，并被列入市重点项目库，完成新增城镇建设用地。</w:t>
      </w:r>
    </w:p>
    <w:p w14:paraId="3B01BA84">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10.村集体经营性收入低,集体经济薄弱。</w:t>
      </w:r>
    </w:p>
    <w:p w14:paraId="4C5D39DC">
      <w:pPr>
        <w:pStyle w:val="6"/>
        <w:spacing w:line="570" w:lineRule="exact"/>
        <w:ind w:firstLine="640"/>
        <w:rPr>
          <w:rFonts w:hint="eastAsia" w:ascii="仿宋_GB2312" w:hAnsi="仿宋_GB2312" w:cs="仿宋_GB2312"/>
        </w:rPr>
      </w:pPr>
      <w:r>
        <w:rPr>
          <w:rFonts w:hint="eastAsia" w:ascii="仿宋_GB2312" w:hAnsi="仿宋_GB2312" w:cs="仿宋_GB2312"/>
        </w:rPr>
        <w:t>鳌江镇16个行政村，石丁、新林等10个村2021年至2023年连续三年的经营性收入低于10万元。</w:t>
      </w:r>
    </w:p>
    <w:p w14:paraId="2F8199F2">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2024年开展全镇三资合同整治工作，对村承包合同等进行清理，追回合同到期欠款，目前该项工作正在进行中，通过全镇三资合同整治工作增加各村集体经济收入。目前全镇16个村集体经济收入都达10万以上。</w:t>
      </w:r>
    </w:p>
    <w:p w14:paraId="19FB9768">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11.“强村公司”经营管理有待进一步加强。</w:t>
      </w:r>
    </w:p>
    <w:p w14:paraId="63EC36FD">
      <w:pPr>
        <w:pStyle w:val="6"/>
        <w:spacing w:line="570" w:lineRule="exact"/>
        <w:ind w:firstLine="640"/>
        <w:rPr>
          <w:rFonts w:hint="eastAsia" w:ascii="仿宋_GB2312" w:hAnsi="仿宋_GB2312" w:cs="仿宋_GB2312"/>
        </w:rPr>
      </w:pPr>
      <w:r>
        <w:rPr>
          <w:rFonts w:hint="eastAsia" w:ascii="仿宋_GB2312" w:hAnsi="仿宋_GB2312" w:cs="仿宋_GB2312"/>
        </w:rPr>
        <w:t>2023年12月15日成立惠来县鳌江镇强村管理有限公司，至巡察期间仅承接绿美植树项目业务1项合计2.4万元，收益0.55万元。</w:t>
      </w:r>
    </w:p>
    <w:p w14:paraId="78066950">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一是我镇已经在政府门口建设4条充电桩，由强村公司进行日常管理并参与分红，增加强村公司收入。二是由强村公司与四家屋顶光伏公司签订协议，在各村民闲置的屋顶安装光伏发电站，强村公司通过参与电站建设和管理收取一定初装协调费和管理费来增加收入，目前已经在新林和中澳安装两户，增加收入2万元。三是由政府出地在政府门口与揭阳市众诚电力有限公司合作，预计每年增加收入1万元。</w:t>
      </w:r>
    </w:p>
    <w:p w14:paraId="2903275D">
      <w:pPr>
        <w:pStyle w:val="6"/>
        <w:spacing w:line="57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（八）产业扶贫资金存在丢失的风险。</w:t>
      </w:r>
    </w:p>
    <w:p w14:paraId="7909D3A7">
      <w:pPr>
        <w:pStyle w:val="6"/>
        <w:spacing w:line="570" w:lineRule="exact"/>
        <w:ind w:firstLine="643"/>
        <w:rPr>
          <w:rFonts w:hint="eastAsia" w:ascii="仿宋_GB2312" w:hAnsi="仿宋_GB2312" w:cs="仿宋_GB2312"/>
          <w:b/>
        </w:rPr>
      </w:pPr>
      <w:r>
        <w:rPr>
          <w:rFonts w:hint="eastAsia" w:ascii="仿宋_GB2312" w:hAnsi="仿宋_GB2312" w:cs="仿宋_GB2312"/>
          <w:b/>
        </w:rPr>
        <w:t>12.虎堀村投资惠来县海源达水产养殖公司鲍鱼养殖项目176.79万元（合同到期时间2022年12月31日）、东岱村投资惠来县葵辉种植专业合作社百香果项目108.1247万元（合同到期时间2022年9月30日），扶贫资金至今未能收回，存在丢失风险。</w:t>
      </w:r>
    </w:p>
    <w:p w14:paraId="0909A8B4">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1、虎堀村投资惠来县海源达水产养殖公司鲍鱼养殖项目176.79万元，目前村已经走完手续，已经到实地与海源达公司对接，让公司出具固定资产证明，进行续投工作；2、东岱村投资惠来县葵辉种植专业合作社百香果项目108.1247万元，镇主要领导已经与惠来县葵辉种植专业合作社负责人进行对接，近期将追回本金。</w:t>
      </w:r>
    </w:p>
    <w:p w14:paraId="5299BEC2">
      <w:pPr>
        <w:pStyle w:val="6"/>
        <w:spacing w:line="57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（九）部分工程建设项目推进缓慢。</w:t>
      </w:r>
    </w:p>
    <w:p w14:paraId="6F37E93F">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13.农村巷道硬底化建设不到位。</w:t>
      </w:r>
    </w:p>
    <w:p w14:paraId="4EFC0EBF">
      <w:pPr>
        <w:pStyle w:val="6"/>
        <w:spacing w:line="570" w:lineRule="exact"/>
        <w:ind w:firstLine="643"/>
        <w:rPr>
          <w:rFonts w:hint="eastAsia" w:ascii="仿宋_GB2312" w:hAnsi="仿宋_GB2312" w:cs="仿宋_GB2312"/>
        </w:rPr>
      </w:pPr>
      <w:r>
        <w:rPr>
          <w:rFonts w:hint="eastAsia" w:ascii="仿宋_GB2312" w:hAnsi="仿宋_GB2312" w:cs="仿宋_GB2312"/>
          <w:b/>
          <w:bCs/>
        </w:rPr>
        <w:t>鳌江镇共有16个行政村，计划完成91.8公里巷道硬底化，其中，2021年至2023年镇已完成41.8公里建设任务，因资金问题，仍有50公里未能完成。</w:t>
      </w:r>
    </w:p>
    <w:p w14:paraId="36CE8EC7">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2024年已经完成入库并已经完成建设的项目：(1)新李村巷道硬底化项目；(2)中澳村巷道硬底化项目；2025年计划完成的项目有：(1)鸟坑村巷道硬底化建设项目，(2)中澳村全村巷道硬底化建设项目，(3)三清村巷道硬底化建设项目。其中鸟坑村和三清村巷道硬底化建设项目已经完成建设。</w:t>
      </w:r>
    </w:p>
    <w:p w14:paraId="2D483685">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14.雨污分流工程建设推进乏力。</w:t>
      </w:r>
    </w:p>
    <w:p w14:paraId="46605812">
      <w:pPr>
        <w:pStyle w:val="6"/>
        <w:spacing w:line="570" w:lineRule="exact"/>
        <w:ind w:firstLine="640"/>
        <w:rPr>
          <w:rFonts w:hint="eastAsia" w:ascii="仿宋_GB2312" w:hAnsi="仿宋_GB2312" w:cs="仿宋_GB2312"/>
        </w:rPr>
      </w:pPr>
      <w:r>
        <w:rPr>
          <w:rFonts w:hint="eastAsia" w:ascii="仿宋_GB2312" w:hAnsi="仿宋_GB2312" w:cs="仿宋_GB2312"/>
        </w:rPr>
        <w:t>全镇24个自然村，未完成9个。项目拟投入资金8660.16万元，镇收到上级资金4421.15万元，工程资金缺口4239万元，缺口较大，至今未能完成建设。</w:t>
      </w:r>
    </w:p>
    <w:p w14:paraId="791F7683">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目前已经由中交四航局对东岱村雨污分流项目进行建设，该项目正在实施中。鳌江镇农村生活污水治理项目实施方案，在新李村、新林村、后陈自然村、龙舟村、陈畔自然村、黄畔自然村、新寨自然村、澳下村八个村开展农村生活污水治理。</w:t>
      </w:r>
    </w:p>
    <w:p w14:paraId="471286D6">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15.新建生活垃圾转运站建设处于停滞状态。</w:t>
      </w:r>
    </w:p>
    <w:p w14:paraId="2CCB9456">
      <w:pPr>
        <w:pStyle w:val="6"/>
        <w:spacing w:line="570" w:lineRule="exact"/>
        <w:ind w:firstLine="640"/>
        <w:rPr>
          <w:rFonts w:hint="eastAsia" w:ascii="仿宋_GB2312" w:hAnsi="仿宋_GB2312" w:cs="仿宋_GB2312"/>
        </w:rPr>
      </w:pPr>
      <w:r>
        <w:rPr>
          <w:rFonts w:hint="eastAsia" w:ascii="仿宋_GB2312" w:hAnsi="仿宋_GB2312" w:cs="仿宋_GB2312"/>
        </w:rPr>
        <w:t>垃圾转运站于2022年4月动工建设，主体建设部分目前已经完成，因资金未到位，未能及时购买设备和安装。</w:t>
      </w:r>
    </w:p>
    <w:p w14:paraId="190683DB">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1、因财政紧张，上级资金拨付无法及时到位，已经向上级反映该问题，争取尽量早日解决问题。2、我镇已加强旧生活垃圾转运站日常管理，改善垃圾压缩转运和车辆效率问题，确保不影响我镇垃圾转运质量。</w:t>
      </w:r>
    </w:p>
    <w:p w14:paraId="29FD2F84">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16.“一老一小”养老托育服务体系建设缓慢。</w:t>
      </w:r>
    </w:p>
    <w:p w14:paraId="7114B550">
      <w:pPr>
        <w:pStyle w:val="6"/>
        <w:spacing w:line="570" w:lineRule="exact"/>
        <w:ind w:firstLine="640"/>
        <w:rPr>
          <w:rFonts w:hint="eastAsia" w:ascii="仿宋_GB2312" w:hAnsi="仿宋_GB2312" w:cs="仿宋_GB2312"/>
        </w:rPr>
      </w:pPr>
      <w:r>
        <w:rPr>
          <w:rFonts w:hint="eastAsia" w:ascii="仿宋_GB2312" w:hAnsi="仿宋_GB2312" w:cs="仿宋_GB2312"/>
        </w:rPr>
        <w:t>鳌江镇没有托育机构、养老院及长者食堂，仅有四个村设置老年人活动中心，存在管理不善、利用率不高。如高陵村老年人活动中心脏乱差，无法满足老年人活动需求。</w:t>
      </w:r>
    </w:p>
    <w:p w14:paraId="427CC083">
      <w:pPr>
        <w:pStyle w:val="6"/>
        <w:spacing w:line="570" w:lineRule="exact"/>
        <w:ind w:firstLine="643" w:firstLineChars="0"/>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(1)加快养老托育服务体系建设。托育机构正在谋划中，目前镇已经完成鳌江镇居家养老服务中心建设配套及长者食堂建设。新林村及三清村新申请居家养老服务站，目前正在规划建设中；(2)加强老人活动中心建设管理，依托现有设施，整合周边资源，进一步完善老人活动中心配套设施，落实专人管理，确保活动中心环境整洁且正常开放。</w:t>
      </w:r>
    </w:p>
    <w:p w14:paraId="46F24492">
      <w:pPr>
        <w:pStyle w:val="6"/>
        <w:spacing w:line="570" w:lineRule="exact"/>
        <w:ind w:firstLine="643" w:firstLineChars="0"/>
        <w:rPr>
          <w:rFonts w:hint="eastAsia" w:ascii="仿宋_GB2312" w:hAnsi="仿宋_GB2312" w:cs="仿宋_GB2312"/>
          <w:b/>
        </w:rPr>
      </w:pPr>
      <w:r>
        <w:rPr>
          <w:rFonts w:hint="eastAsia" w:ascii="仿宋_GB2312" w:hAnsi="仿宋_GB2312" w:cs="仿宋_GB2312"/>
          <w:b/>
          <w:bCs/>
        </w:rPr>
        <w:t>17.</w:t>
      </w:r>
      <w:r>
        <w:rPr>
          <w:rFonts w:hint="eastAsia" w:ascii="仿宋_GB2312" w:hAnsi="仿宋_GB2312" w:cs="仿宋_GB2312"/>
          <w:b/>
        </w:rPr>
        <w:t>鳌江镇2023年工程项目共24个，已实施20个。</w:t>
      </w:r>
    </w:p>
    <w:p w14:paraId="573D6CDB">
      <w:pPr>
        <w:pStyle w:val="6"/>
        <w:spacing w:line="570" w:lineRule="exact"/>
        <w:ind w:firstLine="640"/>
        <w:rPr>
          <w:rFonts w:hint="eastAsia" w:ascii="仿宋_GB2312" w:hAnsi="仿宋_GB2312" w:cs="仿宋_GB2312"/>
        </w:rPr>
      </w:pPr>
      <w:r>
        <w:rPr>
          <w:rFonts w:hint="eastAsia" w:ascii="仿宋_GB2312" w:hAnsi="仿宋_GB2312" w:cs="仿宋_GB2312"/>
        </w:rPr>
        <w:t>其中已完工未验收项目4个，已验收未结算项目4个，未实施项目4个。</w:t>
      </w:r>
    </w:p>
    <w:p w14:paraId="6A85E2E6">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未实施项目4个已经调整为2024年乡村振兴新项目重新入库，其中新李村村址前、石砍路段硬底化及人居环境整治项目和楼内村老乡片、登泰路巷道硬底化及村前池人居环境整治项目因上级资金未到位还未实施。</w:t>
      </w:r>
    </w:p>
    <w:p w14:paraId="2D5E8D7D">
      <w:pPr>
        <w:pStyle w:val="6"/>
        <w:spacing w:line="57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（十）污水日处理量不足，未能充分发挥作用。</w:t>
      </w:r>
    </w:p>
    <w:p w14:paraId="1F66B886">
      <w:pPr>
        <w:pStyle w:val="6"/>
        <w:spacing w:line="570" w:lineRule="exact"/>
        <w:ind w:firstLine="643" w:firstLineChars="0"/>
        <w:rPr>
          <w:rFonts w:hint="eastAsia" w:ascii="仿宋_GB2312" w:hAnsi="仿宋_GB2312" w:cs="仿宋_GB2312"/>
          <w:b/>
        </w:rPr>
      </w:pPr>
      <w:r>
        <w:rPr>
          <w:rFonts w:hint="eastAsia" w:ascii="仿宋_GB2312" w:hAnsi="仿宋_GB2312" w:cs="仿宋_GB2312"/>
          <w:b/>
          <w:bCs/>
        </w:rPr>
        <w:t>18.</w:t>
      </w:r>
      <w:r>
        <w:rPr>
          <w:rFonts w:hint="eastAsia" w:ascii="仿宋_GB2312" w:hAnsi="仿宋_GB2312" w:cs="仿宋_GB2312"/>
          <w:b/>
        </w:rPr>
        <w:t>鳌江镇有污水处理站1个</w:t>
      </w:r>
    </w:p>
    <w:p w14:paraId="42C1A46D">
      <w:pPr>
        <w:pStyle w:val="6"/>
        <w:spacing w:line="570" w:lineRule="exact"/>
        <w:ind w:firstLine="640"/>
        <w:rPr>
          <w:rFonts w:hint="eastAsia" w:ascii="仿宋_GB2312" w:hAnsi="仿宋_GB2312" w:cs="仿宋_GB2312"/>
        </w:rPr>
      </w:pPr>
      <w:r>
        <w:rPr>
          <w:rFonts w:hint="eastAsia" w:ascii="仿宋_GB2312" w:hAnsi="仿宋_GB2312" w:cs="仿宋_GB2312"/>
        </w:rPr>
        <w:t>日处理能力500吨，实际处理约280吨，镇政府旁边污水管堵塞，未能收集至污水处理厂处理。</w:t>
      </w:r>
    </w:p>
    <w:p w14:paraId="19CDC8D6">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(1)污水管堵塞问题已经完成疏通，经检查，辖区内其他地方没有出现堵塞和污水外流情况。(2)因污水处理站设计的日处理能力为500吨，因为设计超前和大部分人口外出，实际排污量没有那么多，我镇将落实加强日常管理，确保运行顺畅有效。</w:t>
      </w:r>
    </w:p>
    <w:p w14:paraId="069E680D">
      <w:pPr>
        <w:pStyle w:val="6"/>
        <w:spacing w:line="57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(十一)饮水安全问题尚未得到妥善解决。</w:t>
      </w:r>
    </w:p>
    <w:p w14:paraId="060A77F1">
      <w:pPr>
        <w:pStyle w:val="6"/>
        <w:spacing w:line="570" w:lineRule="exact"/>
        <w:ind w:firstLine="643" w:firstLineChars="0"/>
        <w:rPr>
          <w:rFonts w:hint="eastAsia" w:ascii="仿宋_GB2312" w:hAnsi="仿宋_GB2312" w:cs="仿宋_GB2312"/>
        </w:rPr>
      </w:pPr>
      <w:r>
        <w:rPr>
          <w:rFonts w:hint="eastAsia" w:ascii="仿宋_GB2312" w:hAnsi="仿宋_GB2312" w:cs="仿宋_GB2312"/>
          <w:b/>
          <w:bCs/>
        </w:rPr>
        <w:t>19.</w:t>
      </w:r>
      <w:r>
        <w:rPr>
          <w:rFonts w:hint="eastAsia" w:ascii="仿宋_GB2312" w:hAnsi="仿宋_GB2312" w:cs="仿宋_GB2312"/>
          <w:b/>
        </w:rPr>
        <w:t>三清村未接入自来水供村民饮用。</w:t>
      </w:r>
    </w:p>
    <w:p w14:paraId="5AA81B63">
      <w:pPr>
        <w:pStyle w:val="6"/>
        <w:spacing w:line="570" w:lineRule="exact"/>
        <w:ind w:firstLine="640"/>
        <w:rPr>
          <w:rFonts w:hint="eastAsia" w:ascii="仿宋_GB2312" w:hAnsi="仿宋_GB2312" w:cs="仿宋_GB2312"/>
        </w:rPr>
      </w:pPr>
      <w:r>
        <w:rPr>
          <w:rFonts w:hint="eastAsia" w:ascii="仿宋_GB2312" w:hAnsi="仿宋_GB2312" w:cs="仿宋_GB2312"/>
        </w:rPr>
        <w:t>主要水源是在后半山山坑建坝蓄水通过水管接入各户饮用。近几年来雨量较少，山坑水逐渐减少，且没有通过专业的消毒和过滤处理，村民饮用水存在供应不稳定和安全问题。</w:t>
      </w:r>
    </w:p>
    <w:p w14:paraId="7E2F7FB3">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该村饮水正常，有定期对半山山坑水源进行水质测量，并有落实定期清理，水质能达标使用，对于该村存在的用水问题，镇村已经写请示给县水利局解决自来水接通问题。因该村海拔比较高，在外面接入自来水存在技术性困难。</w:t>
      </w:r>
    </w:p>
    <w:p w14:paraId="7F42F4F4">
      <w:pPr>
        <w:pStyle w:val="6"/>
        <w:spacing w:line="570" w:lineRule="exact"/>
        <w:ind w:firstLine="640"/>
        <w:rPr>
          <w:rFonts w:hint="eastAsia" w:ascii="仿宋_GB2312" w:hAnsi="仿宋_GB2312" w:cs="仿宋_GB2312"/>
        </w:rPr>
      </w:pPr>
      <w:r>
        <w:rPr>
          <w:rFonts w:hint="eastAsia" w:ascii="楷体_GB2312" w:hAnsi="楷体_GB2312" w:eastAsia="楷体_GB2312" w:cs="楷体_GB2312"/>
          <w:b/>
          <w:bCs/>
        </w:rPr>
        <w:t>(十二)农田水利设施管理维护不到位。</w:t>
      </w:r>
    </w:p>
    <w:p w14:paraId="46BC2974">
      <w:pPr>
        <w:pStyle w:val="6"/>
        <w:spacing w:line="570" w:lineRule="exact"/>
        <w:ind w:firstLine="643" w:firstLineChars="0"/>
        <w:rPr>
          <w:rFonts w:hint="eastAsia" w:ascii="仿宋_GB2312" w:hAnsi="仿宋_GB2312" w:cs="仿宋_GB2312"/>
          <w:b/>
          <w:bCs/>
        </w:rPr>
      </w:pPr>
      <w:r>
        <w:rPr>
          <w:rFonts w:hint="eastAsia" w:ascii="仿宋_GB2312" w:hAnsi="仿宋_GB2312" w:cs="仿宋_GB2312"/>
          <w:b/>
          <w:bCs/>
        </w:rPr>
        <w:t>20.</w:t>
      </w:r>
      <w:r>
        <w:rPr>
          <w:rFonts w:hint="eastAsia" w:ascii="仿宋_GB2312" w:hAnsi="仿宋_GB2312" w:cs="仿宋_GB2312"/>
          <w:b/>
        </w:rPr>
        <w:t>全镇共有9座水闸，建于20世纪五六十年代，由于年久失修，9座水闸均出现启闭机老化、闸板塌落等问题。</w:t>
      </w:r>
      <w:r>
        <w:rPr>
          <w:rFonts w:hint="eastAsia" w:ascii="仿宋_GB2312" w:hAnsi="仿宋_GB2312" w:cs="仿宋_GB2312"/>
          <w:b/>
          <w:bCs/>
        </w:rPr>
        <w:t>全镇共约21000米农田灌溉沟渠阻塞。如新李村、三清村分别存在农田灌溉沟渠阻塞4000米、4700米，影响农业正常生产。</w:t>
      </w:r>
    </w:p>
    <w:p w14:paraId="3B8F27E0">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2024年镇已经谋划粮食连片涉及农田灌溉沟渠项目，改善农业粮食安全问题，待该项目落地实施，解决该问题。</w:t>
      </w:r>
    </w:p>
    <w:p w14:paraId="7DF982F4">
      <w:pPr>
        <w:pStyle w:val="6"/>
        <w:spacing w:line="570" w:lineRule="exact"/>
        <w:ind w:firstLine="640"/>
        <w:rPr>
          <w:rFonts w:hint="eastAsia" w:ascii="仿宋_GB2312" w:hAnsi="仿宋_GB2312" w:eastAsia="楷体_GB2312" w:cs="仿宋_GB2312"/>
        </w:rPr>
      </w:pPr>
      <w:r>
        <w:rPr>
          <w:rFonts w:hint="eastAsia" w:ascii="楷体_GB2312" w:hAnsi="楷体_GB2312" w:eastAsia="楷体_GB2312" w:cs="楷体_GB2312"/>
          <w:b/>
          <w:bCs/>
        </w:rPr>
        <w:t>(十三)人居环境整治不到位。</w:t>
      </w:r>
    </w:p>
    <w:p w14:paraId="6821CEE3">
      <w:pPr>
        <w:pStyle w:val="6"/>
        <w:spacing w:line="570" w:lineRule="exact"/>
        <w:ind w:firstLine="643" w:firstLineChars="0"/>
        <w:rPr>
          <w:rFonts w:hint="eastAsia" w:ascii="仿宋_GB2312" w:hAnsi="仿宋_GB2312" w:cs="仿宋_GB2312"/>
          <w:b/>
        </w:rPr>
      </w:pPr>
      <w:r>
        <w:rPr>
          <w:rFonts w:hint="eastAsia" w:ascii="仿宋_GB2312" w:hAnsi="仿宋_GB2312" w:cs="仿宋_GB2312"/>
          <w:b/>
          <w:bCs/>
        </w:rPr>
        <w:t>21.</w:t>
      </w:r>
      <w:r>
        <w:rPr>
          <w:rFonts w:hint="eastAsia" w:ascii="仿宋_GB2312" w:hAnsi="仿宋_GB2312" w:cs="仿宋_GB2312"/>
          <w:b/>
        </w:rPr>
        <w:t>农村垃圾治理水平有待提升。</w:t>
      </w:r>
    </w:p>
    <w:p w14:paraId="740ACB3B">
      <w:pPr>
        <w:pStyle w:val="6"/>
        <w:spacing w:line="570" w:lineRule="exact"/>
        <w:ind w:firstLine="640"/>
        <w:rPr>
          <w:rFonts w:hint="eastAsia" w:ascii="仿宋_GB2312" w:hAnsi="仿宋_GB2312" w:cs="仿宋_GB2312"/>
        </w:rPr>
      </w:pPr>
      <w:r>
        <w:rPr>
          <w:rFonts w:hint="eastAsia" w:ascii="仿宋_GB2312" w:hAnsi="仿宋_GB2312" w:cs="仿宋_GB2312"/>
        </w:rPr>
        <w:t>经实地走访，发现中澳、新林等村河道及池塘垃圾飘浮，臭气熏天；建筑垃圾未及时清理，占用道路，生活垃圾乱堆放影响村容村貌。</w:t>
      </w:r>
    </w:p>
    <w:p w14:paraId="5D237E6F">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镇2024年3月开始制定人居环境长效机制，各村相应制定方案，镇组成两个检查小组每月进行一次人居环境评分评比工作，村也进行每周一次人居环境义务活动，自该工作开展以来，镇人居环境得到很大改善，河道及池塘垃圾漂浮、臭气熏天、建筑垃圾未及时清理、占用道路等问题已经基本改善。</w:t>
      </w:r>
    </w:p>
    <w:p w14:paraId="35B646A9">
      <w:pPr>
        <w:pStyle w:val="6"/>
        <w:spacing w:line="570" w:lineRule="exact"/>
        <w:ind w:firstLine="643" w:firstLineChars="0"/>
        <w:rPr>
          <w:rFonts w:hint="eastAsia" w:ascii="仿宋_GB2312" w:hAnsi="仿宋_GB2312" w:cs="仿宋_GB2312"/>
          <w:b/>
        </w:rPr>
      </w:pPr>
      <w:r>
        <w:rPr>
          <w:rFonts w:hint="eastAsia" w:ascii="仿宋_GB2312" w:hAnsi="仿宋_GB2312" w:cs="仿宋_GB2312"/>
          <w:b/>
          <w:bCs/>
        </w:rPr>
        <w:t>22.</w:t>
      </w:r>
      <w:r>
        <w:rPr>
          <w:rFonts w:hint="eastAsia" w:ascii="仿宋_GB2312" w:hAnsi="仿宋_GB2312" w:cs="仿宋_GB2312"/>
          <w:b/>
        </w:rPr>
        <w:t>公厕日常管护有待加强。</w:t>
      </w:r>
    </w:p>
    <w:p w14:paraId="2CC18F2C">
      <w:pPr>
        <w:pStyle w:val="6"/>
        <w:spacing w:line="570" w:lineRule="exact"/>
        <w:ind w:firstLine="640"/>
        <w:rPr>
          <w:rFonts w:hint="eastAsia" w:ascii="仿宋_GB2312" w:hAnsi="仿宋_GB2312" w:cs="仿宋_GB2312"/>
        </w:rPr>
      </w:pPr>
      <w:r>
        <w:rPr>
          <w:rFonts w:hint="eastAsia" w:ascii="仿宋_GB2312" w:hAnsi="仿宋_GB2312" w:cs="仿宋_GB2312"/>
        </w:rPr>
        <w:t>如虎堀村公厕化粪池堵塞严重，臭气熏天；山栗村洗手盆、公厕指示牌、灯泡等厕所设施损坏。</w:t>
      </w:r>
    </w:p>
    <w:p w14:paraId="189E534B">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镇2024年3月开始制定人居环境长效机制，镇组成两个检查小组每月进行一次人居环境评分评比工作，公厕日常管护作为评分评比一项，问题已经整改。</w:t>
      </w:r>
    </w:p>
    <w:p w14:paraId="0CEE2297">
      <w:pPr>
        <w:pStyle w:val="6"/>
        <w:spacing w:line="570" w:lineRule="exact"/>
        <w:ind w:firstLine="643" w:firstLineChars="0"/>
        <w:rPr>
          <w:rFonts w:hint="eastAsia" w:ascii="仿宋_GB2312" w:hAnsi="仿宋_GB2312" w:cs="仿宋_GB2312"/>
          <w:b/>
        </w:rPr>
      </w:pPr>
      <w:r>
        <w:rPr>
          <w:rFonts w:hint="eastAsia" w:ascii="仿宋_GB2312" w:hAnsi="仿宋_GB2312" w:cs="仿宋_GB2312"/>
          <w:b/>
          <w:bCs/>
        </w:rPr>
        <w:t>23.</w:t>
      </w:r>
      <w:r>
        <w:rPr>
          <w:rFonts w:hint="eastAsia" w:ascii="仿宋_GB2312" w:hAnsi="仿宋_GB2312" w:cs="仿宋_GB2312"/>
          <w:b/>
        </w:rPr>
        <w:t>乡村风貌管控不够到位，影响村容。</w:t>
      </w:r>
    </w:p>
    <w:p w14:paraId="26B1B321">
      <w:pPr>
        <w:pStyle w:val="6"/>
        <w:spacing w:line="570" w:lineRule="exact"/>
        <w:ind w:firstLine="640"/>
        <w:rPr>
          <w:rFonts w:hint="eastAsia" w:ascii="仿宋_GB2312" w:hAnsi="仿宋_GB2312" w:cs="仿宋_GB2312"/>
        </w:rPr>
      </w:pPr>
      <w:r>
        <w:rPr>
          <w:rFonts w:hint="eastAsia" w:ascii="仿宋_GB2312" w:hAnsi="仿宋_GB2312" w:cs="仿宋_GB2312"/>
        </w:rPr>
        <w:t>如澳下村建筑材料乱堆放于主干道中间，主干道旁乱搭鸡窝。楼内村七乡市场环境脏乱差，乱搭乱建占道经营。</w:t>
      </w:r>
    </w:p>
    <w:p w14:paraId="0A31BC47">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bCs/>
        </w:rPr>
        <w:t>(1)</w:t>
      </w:r>
      <w:r>
        <w:rPr>
          <w:rFonts w:hint="eastAsia" w:ascii="仿宋_GB2312" w:hAnsi="仿宋_GB2312" w:cs="仿宋_GB2312"/>
        </w:rPr>
        <w:t>镇2024年3月开始制定人居环境长效机制，各村相应制定方案，镇组成两个检查小组每月进行一次人居环境评分评比工作，村也进行每周一次人居环境义务活动，自该工作开展以来，镇人居环境得到很大改善。</w:t>
      </w:r>
    </w:p>
    <w:p w14:paraId="3110A79E">
      <w:pPr>
        <w:pStyle w:val="6"/>
        <w:spacing w:line="570" w:lineRule="exact"/>
        <w:ind w:firstLine="643" w:firstLineChars="0"/>
        <w:rPr>
          <w:rFonts w:hint="eastAsia" w:ascii="仿宋_GB2312" w:hAnsi="仿宋_GB2312" w:cs="仿宋_GB2312"/>
        </w:rPr>
      </w:pPr>
      <w:r>
        <w:rPr>
          <w:rFonts w:hint="eastAsia" w:ascii="仿宋_GB2312" w:hAnsi="仿宋_GB2312" w:cs="仿宋_GB2312"/>
          <w:bCs/>
        </w:rPr>
        <w:t>(2)</w:t>
      </w:r>
      <w:r>
        <w:rPr>
          <w:rFonts w:hint="eastAsia" w:ascii="仿宋_GB2312" w:hAnsi="仿宋_GB2312" w:cs="仿宋_GB2312"/>
        </w:rPr>
        <w:t>引导村民主动参与人居环境整治工作，清“死角”、扫“盲区”。</w:t>
      </w:r>
    </w:p>
    <w:p w14:paraId="66FB183C">
      <w:pPr>
        <w:pStyle w:val="6"/>
        <w:spacing w:line="570" w:lineRule="exact"/>
        <w:ind w:firstLine="643" w:firstLineChars="0"/>
        <w:rPr>
          <w:rFonts w:hint="eastAsia" w:ascii="仿宋_GB2312" w:hAnsi="仿宋_GB2312" w:cs="仿宋_GB2312"/>
        </w:rPr>
      </w:pPr>
      <w:r>
        <w:rPr>
          <w:rFonts w:hint="eastAsia" w:ascii="仿宋_GB2312" w:hAnsi="仿宋_GB2312" w:cs="仿宋_GB2312"/>
          <w:bCs/>
        </w:rPr>
        <w:t>(3)</w:t>
      </w:r>
      <w:r>
        <w:rPr>
          <w:rFonts w:hint="eastAsia" w:ascii="仿宋_GB2312" w:hAnsi="仿宋_GB2312" w:cs="仿宋_GB2312"/>
        </w:rPr>
        <w:t>加强督导检查，对辖区内人居环境整治情况进行全方位、无死角督查，发现问题，限期整改，确保整改实效。</w:t>
      </w:r>
    </w:p>
    <w:p w14:paraId="49DDACB5">
      <w:pPr>
        <w:pStyle w:val="6"/>
        <w:spacing w:line="570" w:lineRule="exact"/>
        <w:ind w:firstLine="643" w:firstLineChars="0"/>
        <w:rPr>
          <w:rFonts w:hint="eastAsia" w:ascii="仿宋_GB2312" w:hAnsi="仿宋_GB2312" w:cs="仿宋_GB2312"/>
        </w:rPr>
      </w:pPr>
      <w:r>
        <w:rPr>
          <w:rFonts w:hint="eastAsia" w:ascii="仿宋_GB2312" w:hAnsi="仿宋_GB2312" w:cs="仿宋_GB2312"/>
          <w:bCs/>
        </w:rPr>
        <w:t>(4)</w:t>
      </w:r>
      <w:r>
        <w:rPr>
          <w:rFonts w:hint="eastAsia" w:ascii="仿宋_GB2312" w:hAnsi="仿宋_GB2312" w:cs="仿宋_GB2312"/>
        </w:rPr>
        <w:t>组织执法队、市监所、相关村两委干部进行日常巡查。</w:t>
      </w:r>
    </w:p>
    <w:p w14:paraId="58377FB5">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24.</w:t>
      </w:r>
      <w:bookmarkStart w:id="0" w:name="_Hlk206531022"/>
      <w:r>
        <w:rPr>
          <w:rFonts w:hint="eastAsia" w:ascii="仿宋_GB2312" w:hAnsi="仿宋_GB2312" w:cs="仿宋_GB2312"/>
          <w:b/>
        </w:rPr>
        <w:t>三清三拆三整治</w:t>
      </w:r>
      <w:bookmarkEnd w:id="0"/>
      <w:r>
        <w:rPr>
          <w:rFonts w:hint="eastAsia" w:ascii="仿宋_GB2312" w:hAnsi="仿宋_GB2312" w:cs="仿宋_GB2312"/>
          <w:b/>
        </w:rPr>
        <w:t>工作不到位。</w:t>
      </w:r>
    </w:p>
    <w:p w14:paraId="642B286E">
      <w:pPr>
        <w:pStyle w:val="6"/>
        <w:spacing w:line="570" w:lineRule="exact"/>
        <w:ind w:firstLine="640"/>
        <w:rPr>
          <w:rFonts w:hint="eastAsia" w:ascii="仿宋_GB2312" w:hAnsi="仿宋_GB2312" w:cs="仿宋_GB2312"/>
        </w:rPr>
      </w:pPr>
      <w:r>
        <w:rPr>
          <w:rFonts w:hint="eastAsia" w:ascii="仿宋_GB2312" w:hAnsi="仿宋_GB2312" w:cs="仿宋_GB2312"/>
        </w:rPr>
        <w:t>如山栗村危旧房、破旧泥砖房等未及时治理、拆除，乱搭遮阳棚，违规搭建铁皮屋。</w:t>
      </w:r>
    </w:p>
    <w:p w14:paraId="66BAF074">
      <w:pPr>
        <w:pStyle w:val="6"/>
        <w:spacing w:line="570" w:lineRule="exact"/>
        <w:ind w:firstLine="643"/>
        <w:rPr>
          <w:rFonts w:ascii="仿宋_GB2312"/>
        </w:rPr>
      </w:pPr>
      <w:r>
        <w:rPr>
          <w:rFonts w:hint="eastAsia" w:ascii="仿宋_GB2312" w:hAnsi="仿宋_GB2312" w:cs="仿宋_GB2312"/>
          <w:b/>
        </w:rPr>
        <w:t>整改情况：</w:t>
      </w:r>
      <w:r>
        <w:rPr>
          <w:rFonts w:hint="eastAsia" w:ascii="仿宋_GB2312" w:hAnsi="仿宋_GB2312" w:cs="仿宋_GB2312"/>
        </w:rPr>
        <w:t>已落实山栗村对辖区内进行摸查摸底，集中力量进行全镇三清三拆三整治工作，累计清理乱堆乱放1000余立方、拆除违建75处7543平方米；同时紧密对接县工信局与三大运营商，完成7公里“三线”规整。</w:t>
      </w:r>
    </w:p>
    <w:p w14:paraId="2CA792F2">
      <w:pPr>
        <w:pStyle w:val="6"/>
        <w:spacing w:line="570" w:lineRule="exact"/>
        <w:ind w:firstLine="643"/>
        <w:rPr>
          <w:rFonts w:hint="eastAsia" w:ascii="仿宋_GB2312" w:hAnsi="仿宋_GB2312" w:cs="仿宋_GB2312"/>
          <w:b/>
        </w:rPr>
      </w:pPr>
      <w:r>
        <w:rPr>
          <w:rFonts w:hint="eastAsia" w:ascii="仿宋_GB2312" w:hAnsi="仿宋_GB2312" w:cs="仿宋_GB2312"/>
          <w:b/>
        </w:rPr>
        <w:t>25.“三线”整治工作有待加强。</w:t>
      </w:r>
    </w:p>
    <w:p w14:paraId="33BD0A9B">
      <w:pPr>
        <w:pStyle w:val="6"/>
        <w:spacing w:line="570" w:lineRule="exact"/>
        <w:ind w:firstLine="640"/>
        <w:rPr>
          <w:rFonts w:hint="eastAsia" w:ascii="仿宋_GB2312" w:hAnsi="仿宋_GB2312" w:cs="仿宋_GB2312"/>
        </w:rPr>
      </w:pPr>
      <w:r>
        <w:rPr>
          <w:rFonts w:hint="eastAsia" w:ascii="仿宋_GB2312" w:hAnsi="仿宋_GB2312" w:cs="仿宋_GB2312"/>
        </w:rPr>
        <w:t>如澳下村、虎堀村部分地方线路杂乱、电线折断、下垂。</w:t>
      </w:r>
    </w:p>
    <w:p w14:paraId="764CBB17">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结合日常人居环境整治、“外立面提升”项目，全镇持续开展“三线”整治工作，积极与供电所及三大运营商对接，对杂乱的电线路第一时间进行捆绑、规整，保持环境卫生整洁干净。</w:t>
      </w:r>
    </w:p>
    <w:p w14:paraId="78B258F0">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26.安全隐患排查整治工作不到位。</w:t>
      </w:r>
    </w:p>
    <w:p w14:paraId="6D0AEB7E">
      <w:pPr>
        <w:pStyle w:val="6"/>
        <w:spacing w:line="570" w:lineRule="exact"/>
        <w:ind w:firstLine="640"/>
        <w:rPr>
          <w:rFonts w:hint="eastAsia" w:ascii="仿宋_GB2312" w:hAnsi="仿宋_GB2312" w:cs="仿宋_GB2312"/>
        </w:rPr>
      </w:pPr>
      <w:r>
        <w:rPr>
          <w:rFonts w:hint="eastAsia" w:ascii="仿宋_GB2312" w:hAnsi="仿宋_GB2312" w:cs="仿宋_GB2312"/>
        </w:rPr>
        <w:t>如澳上村部分路面塌陷，河道管理标示牌损坏随意倒放路边，河边无安全警示牌；高陵村巷道井盖高于地面十几公分、部分井盖已破损，钢筋暴露。</w:t>
      </w:r>
    </w:p>
    <w:p w14:paraId="56F927CC">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已完成澳上村塌陷路面和河道标示牌修缮，已安装河边安全警示牌，并已更换井盖。</w:t>
      </w:r>
    </w:p>
    <w:p w14:paraId="2F78B406">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27.公共设施管护不到位。</w:t>
      </w:r>
    </w:p>
    <w:p w14:paraId="449F07C5">
      <w:pPr>
        <w:pStyle w:val="6"/>
        <w:spacing w:line="570" w:lineRule="exact"/>
        <w:ind w:firstLine="640"/>
        <w:rPr>
          <w:rFonts w:hint="eastAsia" w:ascii="仿宋_GB2312" w:hAnsi="仿宋_GB2312" w:cs="仿宋_GB2312"/>
        </w:rPr>
      </w:pPr>
      <w:r>
        <w:rPr>
          <w:rFonts w:hint="eastAsia" w:ascii="仿宋_GB2312" w:hAnsi="仿宋_GB2312" w:cs="仿宋_GB2312"/>
        </w:rPr>
        <w:t>如澳上村公园健身器材年久失修，锈蚀破损；文化广场休闲走廊天花顶玻璃人为损坏，未及时维修。</w:t>
      </w:r>
    </w:p>
    <w:p w14:paraId="23F9F63F">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bCs/>
        </w:rPr>
        <w:t>健身器材已更换维修完成，破损天花顶玻璃已更换。</w:t>
      </w:r>
    </w:p>
    <w:p w14:paraId="47689505">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（十四）“百千万工程”医疗服务高质量发展有差距。</w:t>
      </w:r>
    </w:p>
    <w:p w14:paraId="1229BB42">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28.镇卫生院新建门诊办公楼、住院楼没有配备三相电专台、发电机、发电机房，缺乏医疗设备、办公配套设施等，制约医疗高质量发展。</w:t>
      </w:r>
    </w:p>
    <w:p w14:paraId="66018FAB">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bCs/>
        </w:rPr>
        <w:t>(1)</w:t>
      </w:r>
      <w:r>
        <w:rPr>
          <w:rFonts w:hint="eastAsia" w:ascii="仿宋_GB2312" w:hAnsi="仿宋_GB2312" w:cs="仿宋_GB2312"/>
        </w:rPr>
        <w:t>自筹部分资金开展接水管网、临时用电和网络通信搭建。</w:t>
      </w:r>
      <w:r>
        <w:rPr>
          <w:rFonts w:hint="eastAsia" w:ascii="仿宋_GB2312" w:hAnsi="仿宋_GB2312" w:cs="仿宋_GB2312"/>
          <w:bCs/>
        </w:rPr>
        <w:t>(2)</w:t>
      </w:r>
      <w:r>
        <w:rPr>
          <w:rFonts w:hint="eastAsia" w:ascii="仿宋_GB2312" w:hAnsi="仿宋_GB2312" w:cs="仿宋_GB2312"/>
        </w:rPr>
        <w:t>争取一部分资金优先配套病床等一批必要医疗设备，保障群众日常看病需求。</w:t>
      </w:r>
      <w:r>
        <w:rPr>
          <w:rFonts w:hint="eastAsia" w:ascii="仿宋_GB2312" w:hAnsi="仿宋_GB2312" w:cs="仿宋_GB2312"/>
          <w:bCs/>
        </w:rPr>
        <w:t>(3)</w:t>
      </w:r>
      <w:r>
        <w:rPr>
          <w:rFonts w:hint="eastAsia" w:ascii="仿宋_GB2312" w:hAnsi="仿宋_GB2312" w:cs="仿宋_GB2312"/>
        </w:rPr>
        <w:t>预防接种门诊、医疗组、妇产科、收费、药房、检验、公卫科、精神科、财务室、办公室、会议室、党员活动室已搬迁至新建大楼办公。</w:t>
      </w:r>
      <w:r>
        <w:rPr>
          <w:rFonts w:hint="eastAsia" w:ascii="仿宋_GB2312" w:hAnsi="仿宋_GB2312" w:cs="仿宋_GB2312"/>
          <w:bCs/>
        </w:rPr>
        <w:t>(4)</w:t>
      </w:r>
      <w:r>
        <w:rPr>
          <w:rFonts w:hint="eastAsia" w:ascii="仿宋_GB2312" w:hAnsi="仿宋_GB2312" w:cs="仿宋_GB2312"/>
        </w:rPr>
        <w:t>硬件设施方面已向县发改局申请鳌江镇卫生院建设项目配套设施立项，于2024年5月15日取得立项批复。</w:t>
      </w:r>
    </w:p>
    <w:p w14:paraId="64F171E7">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 xml:space="preserve">29.对村卫生站监督管理不到位。如虎堀村、东岱村等卫生站在正常工作时间内没有工作人员上班。 </w:t>
      </w:r>
    </w:p>
    <w:p w14:paraId="1DABA282">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加强对卫生站的日常管理和监督，确保上班时间保持在岗在位；同时，加强指导，提升村医诊疗水平及服务能力，对村站负责人培训2场次，村医积极配合卫生院开展基本公共卫生各方面工作任务，确保整改落到实处。</w:t>
      </w:r>
    </w:p>
    <w:p w14:paraId="5C8604CE">
      <w:pPr>
        <w:pStyle w:val="6"/>
        <w:spacing w:line="570" w:lineRule="exact"/>
        <w:ind w:firstLine="640"/>
        <w:rPr>
          <w:rFonts w:hint="eastAsia" w:ascii="仿宋_GB2312" w:hAnsi="仿宋_GB2312" w:cs="仿宋_GB2312"/>
        </w:rPr>
      </w:pPr>
      <w:r>
        <w:rPr>
          <w:rFonts w:hint="eastAsia" w:ascii="楷体_GB2312" w:hAnsi="楷体_GB2312" w:eastAsia="楷体_GB2312" w:cs="楷体_GB2312"/>
          <w:b/>
          <w:bCs/>
        </w:rPr>
        <w:t>（十五）推进“百千万工程”教育高质量发展存差距</w:t>
      </w:r>
      <w:r>
        <w:rPr>
          <w:rFonts w:hint="eastAsia" w:ascii="仿宋_GB2312" w:hAnsi="仿宋_GB2312" w:cs="仿宋_GB2312"/>
        </w:rPr>
        <w:t>。</w:t>
      </w:r>
    </w:p>
    <w:p w14:paraId="1C7339CA">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30.麻雀学校偏多挤占教师编制。</w:t>
      </w:r>
    </w:p>
    <w:p w14:paraId="0B7CC3E4">
      <w:pPr>
        <w:pStyle w:val="6"/>
        <w:spacing w:line="570" w:lineRule="exact"/>
        <w:ind w:firstLine="640"/>
        <w:rPr>
          <w:rFonts w:hint="eastAsia" w:ascii="仿宋_GB2312" w:hAnsi="仿宋_GB2312" w:cs="仿宋_GB2312"/>
        </w:rPr>
      </w:pPr>
      <w:r>
        <w:rPr>
          <w:rFonts w:hint="eastAsia" w:ascii="仿宋_GB2312" w:hAnsi="仿宋_GB2312" w:cs="仿宋_GB2312"/>
        </w:rPr>
        <w:t>全镇共有20所小学，麻雀学校占10所，如高陵小学教师8人，学生16人，葵场湖美小学教师8人，学生30人。</w:t>
      </w:r>
    </w:p>
    <w:p w14:paraId="4C73BC92">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根据县工作部署，做好麻雀学校分流撤并工作。高陵小学2024年8月已撤并，经县委县政府、教育局同意，葵场湖美小学暂时保留。</w:t>
      </w:r>
    </w:p>
    <w:p w14:paraId="0F161677">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31.办学基础条件不足。</w:t>
      </w:r>
    </w:p>
    <w:p w14:paraId="5D689C82">
      <w:pPr>
        <w:pStyle w:val="6"/>
        <w:spacing w:line="570" w:lineRule="exact"/>
        <w:ind w:firstLine="640"/>
        <w:rPr>
          <w:rFonts w:hint="eastAsia" w:ascii="仿宋_GB2312" w:hAnsi="仿宋_GB2312" w:cs="仿宋_GB2312"/>
        </w:rPr>
      </w:pPr>
      <w:r>
        <w:rPr>
          <w:rFonts w:hint="eastAsia" w:ascii="仿宋_GB2312" w:hAnsi="仿宋_GB2312" w:cs="仿宋_GB2312"/>
        </w:rPr>
        <w:t>多数学校塑胶跑道老化破损，山栗小学、楼内小学没有塑胶跑道，全镇学校多媒体、电脑设备均已陈旧老化。</w:t>
      </w:r>
    </w:p>
    <w:p w14:paraId="114919CC">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向上级汇报，争取多方资金，更新学校塑胶跑道，更换多媒体、电脑设备。楼内小学已购置两台多媒体设备。</w:t>
      </w:r>
    </w:p>
    <w:p w14:paraId="3C6F502C">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32.学校公共设施建设有待完善、学校管理工作有待加强。</w:t>
      </w:r>
    </w:p>
    <w:p w14:paraId="15637025">
      <w:pPr>
        <w:pStyle w:val="6"/>
        <w:spacing w:line="570" w:lineRule="exact"/>
        <w:ind w:firstLine="640"/>
        <w:rPr>
          <w:rFonts w:hint="eastAsia" w:ascii="仿宋_GB2312" w:hAnsi="仿宋_GB2312" w:cs="仿宋_GB2312"/>
        </w:rPr>
      </w:pPr>
      <w:r>
        <w:rPr>
          <w:rFonts w:hint="eastAsia" w:ascii="仿宋_GB2312" w:hAnsi="仿宋_GB2312" w:cs="仿宋_GB2312"/>
        </w:rPr>
        <w:t>中澳、龙舟村学校厕所环境卫生脏乱差；澳下村学校厕所洗手盆堵塞、布满青苔，地面破损严重。</w:t>
      </w:r>
    </w:p>
    <w:p w14:paraId="22D1EBD9">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加强管理，完善学校公共设施。落实中沃小学、龙舟小学、澳下小学2024年11月已完成整改，清理好厕所卫生。沃下小学厕所地面破损，已完成整改。</w:t>
      </w:r>
    </w:p>
    <w:p w14:paraId="6A51A458">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（十六）卫片图斑整改工作不到位。</w:t>
      </w:r>
    </w:p>
    <w:p w14:paraId="591AACDE">
      <w:pPr>
        <w:pStyle w:val="6"/>
        <w:spacing w:line="570" w:lineRule="exact"/>
        <w:ind w:firstLine="643"/>
        <w:rPr>
          <w:rFonts w:hint="eastAsia" w:ascii="仿宋_GB2312" w:hAnsi="仿宋_GB2312" w:cs="仿宋_GB2312"/>
          <w:b/>
        </w:rPr>
      </w:pPr>
      <w:r>
        <w:rPr>
          <w:rFonts w:hint="eastAsia" w:ascii="仿宋_GB2312" w:hAnsi="仿宋_GB2312" w:cs="仿宋_GB2312"/>
          <w:b/>
        </w:rPr>
        <w:t>33.2023年卫片图斑共62宗，面积合计155.89亩，已完成整改图斑37宗，面积合计139.18亩，未整改图斑25宗，面积合计12.71亩。</w:t>
      </w:r>
    </w:p>
    <w:p w14:paraId="6F66A5E0">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鳌江镇2023年卫片图斑共62宗，面积合计155.89亩，目前已经完成整改43宗，已整改面积合计为144.91亩，剩余未整改图斑19宗，未整改面积合计为10.98亩，未整改19宗均已建民宅，户主已做好一户一宅资料准备组卷报批，民宅周边其余空地已整改。</w:t>
      </w:r>
    </w:p>
    <w:p w14:paraId="4FF66B6D">
      <w:pPr>
        <w:pStyle w:val="6"/>
        <w:spacing w:line="570" w:lineRule="exact"/>
        <w:ind w:firstLine="643" w:firstLineChars="0"/>
        <w:rPr>
          <w:rFonts w:hint="eastAsia" w:ascii="楷体_GB2312" w:hAnsi="楷体_GB2312" w:eastAsia="楷体_GB2312" w:cs="楷体_GB2312"/>
          <w:b/>
        </w:rPr>
      </w:pPr>
      <w:r>
        <w:rPr>
          <w:rFonts w:hint="eastAsia" w:ascii="楷体_GB2312" w:hAnsi="楷体_GB2312" w:eastAsia="楷体_GB2312" w:cs="楷体_GB2312"/>
          <w:b/>
        </w:rPr>
        <w:t>（十七）撂荒复耕工作推进不力。</w:t>
      </w:r>
    </w:p>
    <w:p w14:paraId="3B84018D">
      <w:pPr>
        <w:pStyle w:val="6"/>
        <w:spacing w:line="570" w:lineRule="exact"/>
        <w:ind w:firstLine="643"/>
        <w:rPr>
          <w:rFonts w:hint="eastAsia" w:ascii="仿宋_GB2312" w:hAnsi="仿宋_GB2312" w:cs="仿宋_GB2312"/>
          <w:b/>
        </w:rPr>
      </w:pPr>
      <w:r>
        <w:rPr>
          <w:rFonts w:hint="eastAsia" w:ascii="仿宋_GB2312" w:hAnsi="仿宋_GB2312" w:cs="仿宋_GB2312"/>
          <w:b/>
        </w:rPr>
        <w:t>34.2021年以来鳌江镇发现16个村207.3亩耕地撂荒，已复耕83.3亩，未复耕复种的仍有124亩。</w:t>
      </w:r>
    </w:p>
    <w:p w14:paraId="523C469A">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2024年已经完成中澳村10亩、龙舟村30亩、新林村亩、新李村400亩复耕复种工作，对于其他村存在撂荒具备复耕复种的土地也落实推进复耕复种工作。</w:t>
      </w:r>
    </w:p>
    <w:p w14:paraId="6D6D6D9D">
      <w:pPr>
        <w:pStyle w:val="6"/>
        <w:spacing w:line="57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（十八）镇公共服务办对村务公开工作的监督管理有待加强。</w:t>
      </w:r>
    </w:p>
    <w:p w14:paraId="1A1320EA">
      <w:pPr>
        <w:pStyle w:val="6"/>
        <w:spacing w:line="570" w:lineRule="exact"/>
        <w:ind w:firstLine="643"/>
        <w:rPr>
          <w:rFonts w:hint="eastAsia" w:ascii="仿宋_GB2312" w:hAnsi="仿宋_GB2312" w:cs="仿宋_GB2312"/>
          <w:b/>
        </w:rPr>
      </w:pPr>
      <w:r>
        <w:rPr>
          <w:rFonts w:hint="eastAsia" w:ascii="仿宋_GB2312" w:hAnsi="仿宋_GB2312" w:cs="仿宋_GB2312"/>
          <w:b/>
        </w:rPr>
        <w:t>35.鳌江镇大部分村的村务工作开展不规范、不及时。</w:t>
      </w:r>
    </w:p>
    <w:p w14:paraId="6AE274AA">
      <w:pPr>
        <w:pStyle w:val="6"/>
        <w:spacing w:line="570" w:lineRule="exact"/>
        <w:ind w:firstLine="640"/>
        <w:rPr>
          <w:rFonts w:hint="eastAsia" w:ascii="仿宋_GB2312" w:hAnsi="仿宋_GB2312" w:cs="仿宋_GB2312"/>
        </w:rPr>
      </w:pPr>
      <w:r>
        <w:rPr>
          <w:rFonts w:hint="eastAsia" w:ascii="仿宋_GB2312" w:hAnsi="仿宋_GB2312" w:cs="仿宋_GB2312"/>
        </w:rPr>
        <w:t xml:space="preserve">镇公共服务办对其各村村务公开工作监督管理不到位。如高陵村、虎堀村党务村务公开栏没有及时公示信息、宣传栏没有定期更新。 </w:t>
      </w:r>
    </w:p>
    <w:p w14:paraId="0CA29ECA">
      <w:pPr>
        <w:pStyle w:val="6"/>
        <w:spacing w:line="570" w:lineRule="exact"/>
        <w:ind w:firstLine="643"/>
        <w:rPr>
          <w:rFonts w:hint="eastAsia" w:ascii="仿宋_GB2312" w:hAnsi="仿宋_GB2312" w:cs="仿宋_GB2312"/>
          <w:highlight w:val="yellow"/>
        </w:rPr>
      </w:pPr>
      <w:r>
        <w:rPr>
          <w:rFonts w:hint="eastAsia" w:ascii="仿宋_GB2312" w:hAnsi="仿宋_GB2312" w:cs="仿宋_GB2312"/>
          <w:b/>
        </w:rPr>
        <w:t>整改情况</w:t>
      </w:r>
      <w:r>
        <w:rPr>
          <w:rFonts w:hint="eastAsia" w:ascii="仿宋_GB2312" w:hAnsi="仿宋_GB2312" w:cs="仿宋_GB2312"/>
        </w:rPr>
        <w:t>：指导各村规范及时公开村务。高陵村、虎堀村党务村务已在公开栏进行公示，宣传栏已按时更新。</w:t>
      </w:r>
    </w:p>
    <w:p w14:paraId="55B256C4">
      <w:pPr>
        <w:pStyle w:val="6"/>
        <w:spacing w:line="57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（十九）工程项目资料管理不规范。</w:t>
      </w:r>
    </w:p>
    <w:p w14:paraId="35B77D90">
      <w:pPr>
        <w:pStyle w:val="5"/>
        <w:spacing w:line="570" w:lineRule="exact"/>
        <w:ind w:firstLine="640" w:firstLineChars="0"/>
        <w:rPr>
          <w:rFonts w:hint="eastAsia" w:ascii="仿宋_GB2312" w:hAnsi="仿宋_GB2312" w:cs="仿宋_GB2312"/>
          <w:b/>
          <w:bCs/>
        </w:rPr>
      </w:pPr>
      <w:r>
        <w:rPr>
          <w:rFonts w:hint="eastAsia" w:ascii="仿宋_GB2312" w:hAnsi="仿宋_GB2312" w:cs="仿宋_GB2312"/>
          <w:b/>
          <w:bCs/>
        </w:rPr>
        <w:t>36.工程项目资料审核不规范。</w:t>
      </w:r>
    </w:p>
    <w:p w14:paraId="5B58C76A">
      <w:pPr>
        <w:pStyle w:val="6"/>
        <w:spacing w:line="570" w:lineRule="exact"/>
        <w:ind w:firstLine="640"/>
        <w:rPr>
          <w:rFonts w:hint="eastAsia" w:ascii="仿宋_GB2312" w:hAnsi="仿宋_GB2312" w:cs="仿宋_GB2312"/>
        </w:rPr>
      </w:pPr>
      <w:r>
        <w:rPr>
          <w:rFonts w:hint="eastAsia" w:ascii="仿宋_GB2312" w:hAnsi="仿宋_GB2312" w:cs="仿宋_GB2312"/>
        </w:rPr>
        <w:t>参与高陵村村前池塘环境改造项目的设计公司的资质证书已于2020年12月2日过期，2022年3月仍参与施工图设计、工程款支付报审表缺乏建设单位审批意见。</w:t>
      </w:r>
    </w:p>
    <w:p w14:paraId="77E71FFF">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当时受疫情影响，该公司面临人员跨区域流动管控、政务服务窗口线下业务暂停或延缓等客观阻碍，致使资质更新工作滞后，未能及时完成续期手续，现已落实该公司进行资质更新，后续加强部门业务审核力度，对工程公司各项资质证书等进行严格审核。</w:t>
      </w:r>
    </w:p>
    <w:p w14:paraId="78C36874">
      <w:pPr>
        <w:pStyle w:val="5"/>
        <w:spacing w:line="570" w:lineRule="exact"/>
        <w:ind w:firstLine="640" w:firstLineChars="0"/>
        <w:rPr>
          <w:rFonts w:hint="eastAsia" w:ascii="仿宋_GB2312" w:hAnsi="仿宋_GB2312" w:cs="仿宋_GB2312"/>
          <w:b/>
          <w:bCs/>
        </w:rPr>
      </w:pPr>
      <w:r>
        <w:rPr>
          <w:rFonts w:hint="eastAsia" w:ascii="仿宋_GB2312" w:hAnsi="仿宋_GB2312" w:cs="仿宋_GB2312"/>
          <w:b/>
          <w:bCs/>
        </w:rPr>
        <w:t>37.工程合同资料不规范。</w:t>
      </w:r>
    </w:p>
    <w:p w14:paraId="7B8B1CDA">
      <w:pPr>
        <w:pStyle w:val="6"/>
        <w:spacing w:line="570" w:lineRule="exact"/>
        <w:ind w:firstLine="640"/>
        <w:rPr>
          <w:rFonts w:hint="eastAsia" w:ascii="仿宋_GB2312" w:hAnsi="仿宋_GB2312" w:cs="仿宋_GB2312"/>
        </w:rPr>
      </w:pPr>
      <w:r>
        <w:rPr>
          <w:rFonts w:hint="eastAsia" w:ascii="仿宋_GB2312" w:hAnsi="仿宋_GB2312" w:cs="仿宋_GB2312"/>
        </w:rPr>
        <w:t>高陵村购买100棵阴香木没有验收手续。虎堀村巷道硬底化工程施工合同没有甲方盖章，验收文书没有落款时间。</w:t>
      </w:r>
    </w:p>
    <w:p w14:paraId="22DEDAFF">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落实村办理采购合同、购销协议等，对工程合同进行补充盖章加上时间。</w:t>
      </w:r>
    </w:p>
    <w:p w14:paraId="5A842F98">
      <w:pPr>
        <w:pStyle w:val="6"/>
        <w:spacing w:line="570" w:lineRule="exact"/>
        <w:ind w:firstLine="643" w:firstLineChars="0"/>
        <w:rPr>
          <w:rFonts w:hint="eastAsia" w:ascii="楷体_GB2312" w:hAnsi="楷体_GB2312" w:eastAsia="楷体_GB2312" w:cs="楷体_GB2312"/>
          <w:b/>
          <w:bCs/>
        </w:rPr>
      </w:pPr>
      <w:r>
        <w:rPr>
          <w:rFonts w:hint="eastAsia" w:ascii="楷体_GB2312" w:hAnsi="楷体_GB2312" w:eastAsia="楷体_GB2312" w:cs="楷体_GB2312"/>
          <w:b/>
          <w:bCs/>
        </w:rPr>
        <w:t>（二十）基层党组织干部队伍建设存短板。</w:t>
      </w:r>
    </w:p>
    <w:p w14:paraId="1C22B496">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38.年轻党员干部配备不足。</w:t>
      </w:r>
    </w:p>
    <w:p w14:paraId="7A769436">
      <w:pPr>
        <w:pStyle w:val="6"/>
        <w:spacing w:line="570" w:lineRule="exact"/>
        <w:ind w:firstLine="643"/>
        <w:rPr>
          <w:rFonts w:hint="eastAsia" w:ascii="仿宋_GB2312" w:hAnsi="仿宋_GB2312" w:cs="仿宋_GB2312"/>
          <w:b/>
          <w:bCs/>
        </w:rPr>
      </w:pPr>
      <w:r>
        <w:rPr>
          <w:rFonts w:hint="eastAsia" w:ascii="仿宋_GB2312" w:hAnsi="仿宋_GB2312" w:cs="仿宋_GB2312"/>
          <w:b/>
          <w:bCs/>
        </w:rPr>
        <w:t>虎堀、石丁等9个村未配备</w:t>
      </w:r>
      <w:bookmarkStart w:id="1" w:name="_Hlk206530211"/>
      <w:r>
        <w:rPr>
          <w:rFonts w:hint="eastAsia" w:ascii="仿宋_GB2312" w:hAnsi="仿宋_GB2312" w:cs="仿宋_GB2312"/>
          <w:b/>
          <w:bCs/>
        </w:rPr>
        <w:t>35岁以下的年轻干部。</w:t>
      </w:r>
      <w:bookmarkEnd w:id="1"/>
    </w:p>
    <w:p w14:paraId="3220E4E3">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已在各村物色大专以上学历，35周岁内的后备干部，并长期根据村实际情况进行调整。目前虎堀已配备35岁以下的年轻干部。</w:t>
      </w:r>
    </w:p>
    <w:p w14:paraId="32F9A950">
      <w:pPr>
        <w:pStyle w:val="6"/>
        <w:spacing w:line="570" w:lineRule="exact"/>
        <w:ind w:firstLine="643" w:firstLineChars="0"/>
        <w:rPr>
          <w:rFonts w:hint="eastAsia" w:ascii="仿宋_GB2312" w:hAnsi="仿宋_GB2312" w:cs="仿宋_GB2312"/>
          <w:b/>
        </w:rPr>
      </w:pPr>
      <w:r>
        <w:rPr>
          <w:rFonts w:hint="eastAsia" w:ascii="仿宋_GB2312" w:hAnsi="仿宋_GB2312" w:cs="仿宋_GB2312"/>
          <w:b/>
        </w:rPr>
        <w:t>39.东岱村、溪头村等7个村2021至2023年连续三年没有发展新党员，“百千万工程”建设人才储备不足。</w:t>
      </w:r>
    </w:p>
    <w:p w14:paraId="2EE13B87">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已于2024年9月在石丁村发展党员1名，并督促连续三年未发展党员的各村及时在村内物色优秀年轻的人员吸收为积极分子。</w:t>
      </w:r>
    </w:p>
    <w:p w14:paraId="11B57F3D">
      <w:pPr>
        <w:pStyle w:val="5"/>
        <w:spacing w:line="570" w:lineRule="exact"/>
        <w:ind w:firstLine="640"/>
        <w:rPr>
          <w:rFonts w:hint="eastAsia" w:ascii="楷体_GB2312" w:hAnsi="楷体_GB2312" w:eastAsia="楷体_GB2312" w:cs="楷体_GB2312"/>
          <w:b/>
          <w:bCs/>
        </w:rPr>
      </w:pPr>
      <w:r>
        <w:rPr>
          <w:rFonts w:hint="eastAsia" w:ascii="楷体_GB2312" w:hAnsi="楷体_GB2312" w:eastAsia="楷体_GB2312" w:cs="楷体_GB2312"/>
          <w:b/>
          <w:bCs/>
        </w:rPr>
        <w:t>（二十一）“百千万工程”专业人才不足。</w:t>
      </w:r>
    </w:p>
    <w:p w14:paraId="7ADF0ECA">
      <w:pPr>
        <w:pStyle w:val="5"/>
        <w:spacing w:line="570" w:lineRule="exact"/>
        <w:ind w:firstLine="643"/>
        <w:rPr>
          <w:rFonts w:hint="eastAsia" w:ascii="仿宋_GB2312" w:hAnsi="仿宋_GB2312" w:cs="仿宋_GB2312"/>
          <w:b/>
          <w:bCs/>
        </w:rPr>
      </w:pPr>
      <w:r>
        <w:rPr>
          <w:rFonts w:hint="eastAsia" w:ascii="仿宋_GB2312" w:hAnsi="仿宋_GB2312" w:cs="仿宋_GB2312"/>
          <w:b/>
          <w:bCs/>
        </w:rPr>
        <w:t>40.鳌江镇没有招录工程造价、工程管理人员。</w:t>
      </w:r>
    </w:p>
    <w:p w14:paraId="5A474E19">
      <w:pPr>
        <w:pStyle w:val="6"/>
        <w:spacing w:line="570" w:lineRule="exact"/>
        <w:ind w:firstLine="640"/>
        <w:rPr>
          <w:rFonts w:hint="eastAsia" w:ascii="仿宋_GB2312" w:hAnsi="仿宋_GB2312" w:cs="仿宋_GB2312"/>
        </w:rPr>
      </w:pPr>
      <w:r>
        <w:rPr>
          <w:rFonts w:hint="eastAsia" w:ascii="仿宋_GB2312" w:hAnsi="仿宋_GB2312" w:cs="仿宋_GB2312"/>
        </w:rPr>
        <w:t>熟悉工程领域业务人员较少，过度依赖第三方，导致“百千万工程”工作推进缓慢。</w:t>
      </w:r>
    </w:p>
    <w:p w14:paraId="7C8BF284">
      <w:pPr>
        <w:pStyle w:val="6"/>
        <w:spacing w:line="570" w:lineRule="exact"/>
        <w:ind w:firstLine="643"/>
        <w:rPr>
          <w:rFonts w:hint="eastAsia" w:ascii="仿宋_GB2312" w:hAnsi="仿宋_GB2312" w:cs="仿宋_GB2312"/>
        </w:rPr>
      </w:pPr>
      <w:r>
        <w:rPr>
          <w:rFonts w:hint="eastAsia" w:ascii="仿宋_GB2312" w:hAnsi="仿宋_GB2312" w:cs="仿宋_GB2312"/>
          <w:b/>
        </w:rPr>
        <w:t>整改情况：</w:t>
      </w:r>
      <w:r>
        <w:rPr>
          <w:rFonts w:hint="eastAsia" w:ascii="仿宋_GB2312" w:hAnsi="仿宋_GB2312" w:cs="仿宋_GB2312"/>
        </w:rPr>
        <w:t>2025年省考与选调生岗位设置里面均有招录建筑类专业，可参与到项目的管理工作，包括策划、设计、施工、验收等各个环节。</w:t>
      </w:r>
    </w:p>
    <w:p w14:paraId="1FE39F33">
      <w:pPr>
        <w:pStyle w:val="2"/>
        <w:spacing w:line="570" w:lineRule="exact"/>
        <w:ind w:firstLine="640" w:firstLineChars="0"/>
      </w:pPr>
      <w:r>
        <w:rPr>
          <w:rFonts w:hint="eastAsia"/>
        </w:rPr>
        <w:t>三</w:t>
      </w:r>
      <w:r>
        <w:t>、工作措施及成效</w:t>
      </w:r>
    </w:p>
    <w:p w14:paraId="7A5F3B12">
      <w:pPr>
        <w:pStyle w:val="3"/>
        <w:spacing w:line="570" w:lineRule="exact"/>
        <w:ind w:firstLine="640" w:firstLineChars="0"/>
        <w:rPr>
          <w:rFonts w:hint="eastAsia" w:ascii="楷体_GB2312" w:hAnsi="楷体_GB2312" w:eastAsia="楷体_GB2312" w:cs="楷体_GB2312"/>
        </w:rPr>
      </w:pPr>
      <w:r>
        <w:rPr>
          <w:rFonts w:hint="eastAsia" w:ascii="楷体_GB2312" w:hAnsi="楷体_GB2312" w:eastAsia="楷体_GB2312" w:cs="楷体_GB2312"/>
        </w:rPr>
        <w:t>（一）提高政治站位，提高思想认识。</w:t>
      </w:r>
    </w:p>
    <w:p w14:paraId="326A0FAF">
      <w:pPr>
        <w:pStyle w:val="6"/>
        <w:widowControl/>
        <w:spacing w:line="570" w:lineRule="exact"/>
        <w:ind w:firstLine="640"/>
      </w:pPr>
      <w:r>
        <w:t>阶段来，鳌江镇认真贯彻落实上级党委、政府工作部署，紧扣</w:t>
      </w:r>
      <w:r>
        <w:rPr>
          <w:rFonts w:hint="eastAsia"/>
        </w:rPr>
        <w:t>“</w:t>
      </w:r>
      <w:r>
        <w:t>百千万工程</w:t>
      </w:r>
      <w:r>
        <w:rPr>
          <w:rFonts w:hint="eastAsia"/>
        </w:rPr>
        <w:t>”</w:t>
      </w:r>
      <w:r>
        <w:t>专业镇培育目标，立足资源禀赋、抢抓发展机遇，大力发动社会力量共同推动</w:t>
      </w:r>
      <w:r>
        <w:rPr>
          <w:rFonts w:hint="eastAsia"/>
        </w:rPr>
        <w:t>“</w:t>
      </w:r>
      <w:r>
        <w:t>百千万工程</w:t>
      </w:r>
      <w:r>
        <w:rPr>
          <w:rFonts w:hint="eastAsia"/>
        </w:rPr>
        <w:t>”</w:t>
      </w:r>
      <w:r>
        <w:t>走深走实。</w:t>
      </w:r>
    </w:p>
    <w:p w14:paraId="29E88704">
      <w:pPr>
        <w:pStyle w:val="6"/>
        <w:spacing w:line="570" w:lineRule="exact"/>
        <w:ind w:firstLine="643" w:firstLineChars="0"/>
        <w:rPr>
          <w:b/>
        </w:rPr>
      </w:pPr>
      <w:r>
        <w:rPr>
          <w:b/>
        </w:rPr>
        <w:t>一是</w:t>
      </w:r>
      <w:r>
        <w:t>强化镇委作为“百千万工程”一线指挥部的政治责任，定期召开指挥部工作会议，深入研究战法打法</w:t>
      </w:r>
      <w:r>
        <w:rPr>
          <w:rFonts w:hint="eastAsia"/>
        </w:rPr>
        <w:t>；</w:t>
      </w:r>
      <w:r>
        <w:t>加强领导班子建设，压实工作责任，提振干事创业精气神，营造团结协作、争先创优的工作氛围，全力推动</w:t>
      </w:r>
      <w:r>
        <w:rPr>
          <w:rFonts w:hint="eastAsia"/>
        </w:rPr>
        <w:t>“</w:t>
      </w:r>
      <w:r>
        <w:t>百千万工程</w:t>
      </w:r>
      <w:r>
        <w:rPr>
          <w:rFonts w:hint="eastAsia"/>
        </w:rPr>
        <w:t>”</w:t>
      </w:r>
      <w:r>
        <w:t>重点任务落地落实。</w:t>
      </w:r>
    </w:p>
    <w:p w14:paraId="58906125">
      <w:pPr>
        <w:pStyle w:val="6"/>
        <w:spacing w:line="570" w:lineRule="exact"/>
        <w:ind w:firstLine="643" w:firstLineChars="0"/>
        <w:rPr>
          <w:b/>
        </w:rPr>
      </w:pPr>
      <w:r>
        <w:rPr>
          <w:b/>
        </w:rPr>
        <w:t>二是</w:t>
      </w:r>
      <w:r>
        <w:t>全面进行部署压实领导干部挂钩联系村制度，镇领导同志带头将定点联系点作为“百千万工程”责任点，每周至少一次到村协调解决问题，示范带动全镇各级领导干部大抓</w:t>
      </w:r>
      <w:r>
        <w:rPr>
          <w:rFonts w:hint="eastAsia"/>
        </w:rPr>
        <w:t>“</w:t>
      </w:r>
      <w:r>
        <w:t>百千万工程</w:t>
      </w:r>
      <w:r>
        <w:rPr>
          <w:rFonts w:hint="eastAsia"/>
        </w:rPr>
        <w:t>”</w:t>
      </w:r>
      <w:r>
        <w:t>。</w:t>
      </w:r>
    </w:p>
    <w:p w14:paraId="35EBA73A">
      <w:pPr>
        <w:pStyle w:val="6"/>
        <w:spacing w:line="570" w:lineRule="exact"/>
        <w:ind w:firstLine="643" w:firstLineChars="0"/>
        <w:rPr>
          <w:b/>
        </w:rPr>
      </w:pPr>
      <w:r>
        <w:rPr>
          <w:b/>
        </w:rPr>
        <w:t>三是</w:t>
      </w:r>
      <w:r>
        <w:t>进一步优化镇</w:t>
      </w:r>
      <w:r>
        <w:rPr>
          <w:rFonts w:hint="eastAsia"/>
        </w:rPr>
        <w:t>“</w:t>
      </w:r>
      <w:r>
        <w:t>百千万工程</w:t>
      </w:r>
      <w:r>
        <w:rPr>
          <w:rFonts w:hint="eastAsia"/>
        </w:rPr>
        <w:t>”</w:t>
      </w:r>
      <w:r>
        <w:t>指挥体系，充实镇指挥办干部队伍，完善办公设备设施配套，提高实体化运作效率。紧密结合实际，强化文件制定及制度设置的创新性、实用性</w:t>
      </w:r>
      <w:r>
        <w:rPr>
          <w:rFonts w:hint="eastAsia"/>
        </w:rPr>
        <w:t>，</w:t>
      </w:r>
      <w:r>
        <w:t>督促镇级指挥部加强对重点工作的研究谋划，推动落实，切实发挥镇级工作专班联镇带村作用。</w:t>
      </w:r>
    </w:p>
    <w:p w14:paraId="2C7B2D4B">
      <w:pPr>
        <w:pStyle w:val="3"/>
        <w:spacing w:line="570" w:lineRule="exact"/>
        <w:ind w:firstLine="640" w:firstLineChars="0"/>
        <w:rPr>
          <w:rFonts w:hint="eastAsia" w:ascii="楷体_GB2312" w:hAnsi="楷体_GB2312" w:eastAsia="楷体_GB2312" w:cs="楷体_GB2312"/>
        </w:rPr>
      </w:pPr>
      <w:r>
        <w:rPr>
          <w:rFonts w:hint="eastAsia" w:ascii="楷体_GB2312" w:hAnsi="楷体_GB2312" w:eastAsia="楷体_GB2312" w:cs="楷体_GB2312"/>
        </w:rPr>
        <w:t>（二）坚持问题导向，全面抓好整改。</w:t>
      </w:r>
    </w:p>
    <w:p w14:paraId="0C856C31">
      <w:pPr>
        <w:pStyle w:val="6"/>
        <w:spacing w:line="570" w:lineRule="exact"/>
        <w:ind w:firstLine="643" w:firstLineChars="0"/>
        <w:rPr>
          <w:b/>
        </w:rPr>
      </w:pPr>
      <w:r>
        <w:rPr>
          <w:b/>
        </w:rPr>
        <w:t>一是</w:t>
      </w:r>
      <w:r>
        <w:t xml:space="preserve">强化责任落实建立领导挂点联系机制，压实主体责任，由党政“一把手”牵头整改，明确问题清单并逐项销号管理。  </w:t>
      </w:r>
    </w:p>
    <w:p w14:paraId="75945463">
      <w:pPr>
        <w:pStyle w:val="6"/>
        <w:spacing w:line="570" w:lineRule="exact"/>
        <w:ind w:firstLine="643" w:firstLineChars="0"/>
        <w:rPr>
          <w:b/>
        </w:rPr>
      </w:pPr>
      <w:r>
        <w:rPr>
          <w:b/>
        </w:rPr>
        <w:t>二是</w:t>
      </w:r>
      <w:r>
        <w:t xml:space="preserve">强化挂图作战实施“项目化+台账式”整改模式，聚焦重点任务和要素保障，统筹推进短板弱项攻坚。  </w:t>
      </w:r>
    </w:p>
    <w:p w14:paraId="567649D5">
      <w:pPr>
        <w:pStyle w:val="6"/>
        <w:spacing w:line="570" w:lineRule="exact"/>
        <w:ind w:firstLine="643" w:firstLineChars="0"/>
        <w:rPr>
          <w:b/>
        </w:rPr>
      </w:pPr>
      <w:r>
        <w:rPr>
          <w:b/>
        </w:rPr>
        <w:t>三是</w:t>
      </w:r>
      <w:r>
        <w:t xml:space="preserve">抓实检查督导健全考核“指挥棒”机制，开展常态化下沉调研和跟踪问效，强化问责倒逼整改落实。  </w:t>
      </w:r>
    </w:p>
    <w:p w14:paraId="12FB5190">
      <w:pPr>
        <w:pStyle w:val="3"/>
        <w:spacing w:line="570" w:lineRule="exact"/>
        <w:ind w:firstLine="640" w:firstLineChars="0"/>
        <w:rPr>
          <w:rFonts w:hint="eastAsia" w:ascii="楷体_GB2312" w:hAnsi="楷体_GB2312" w:eastAsia="楷体_GB2312" w:cs="楷体_GB2312"/>
        </w:rPr>
      </w:pPr>
      <w:r>
        <w:rPr>
          <w:rFonts w:hint="eastAsia" w:ascii="楷体_GB2312" w:hAnsi="楷体_GB2312" w:eastAsia="楷体_GB2312" w:cs="楷体_GB2312"/>
        </w:rPr>
        <w:t>（三）坚持分析研判，注重标本兼治。</w:t>
      </w:r>
    </w:p>
    <w:p w14:paraId="4E74CB57">
      <w:pPr>
        <w:pStyle w:val="6"/>
        <w:spacing w:line="570" w:lineRule="exact"/>
        <w:ind w:firstLine="640" w:firstLineChars="0"/>
      </w:pPr>
      <w:r>
        <w:t xml:space="preserve">一是坚持问题导向，深化源头治理建立问题动态排查机制，结合巡察反馈、群众诉求和重点工作推进中的堵点，定期召开镇村两级整改推进会，对共性问题和典型个案开展分析。分类制定整改路径，推动立行立改与长效管理结合。  </w:t>
      </w:r>
    </w:p>
    <w:p w14:paraId="71A9B420">
      <w:pPr>
        <w:pStyle w:val="6"/>
        <w:spacing w:line="570" w:lineRule="exact"/>
        <w:ind w:firstLine="640" w:firstLineChars="0"/>
      </w:pPr>
      <w:r>
        <w:t xml:space="preserve">二是坚持完善制度，构建长效机制聚焦基层治理薄弱环节，同步强化制度执行监督，  </w:t>
      </w:r>
    </w:p>
    <w:p w14:paraId="16702291">
      <w:pPr>
        <w:pStyle w:val="6"/>
        <w:spacing w:line="570" w:lineRule="exact"/>
        <w:ind w:firstLine="640" w:firstLineChars="0"/>
      </w:pPr>
      <w:r>
        <w:t>三是坚持汲取力量，凝聚干群合力将整改与干部能力提升、群众参与治理深度融合。一方面，开展镇村干部</w:t>
      </w:r>
      <w:r>
        <w:rPr>
          <w:rFonts w:hint="eastAsia"/>
        </w:rPr>
        <w:t>“</w:t>
      </w:r>
      <w:r>
        <w:t>百千万工程</w:t>
      </w:r>
      <w:r>
        <w:rPr>
          <w:rFonts w:hint="eastAsia"/>
        </w:rPr>
        <w:t>”</w:t>
      </w:r>
      <w:r>
        <w:t>专题学习会等专题培训，组织跨村观摩和案例研讨。</w:t>
      </w:r>
    </w:p>
    <w:p w14:paraId="66EAE0BA">
      <w:pPr>
        <w:pStyle w:val="2"/>
        <w:spacing w:line="570" w:lineRule="exact"/>
        <w:ind w:firstLine="640" w:firstLineChars="0"/>
      </w:pPr>
      <w:r>
        <w:rPr>
          <w:rFonts w:hint="eastAsia"/>
        </w:rPr>
        <w:t>四</w:t>
      </w:r>
      <w:r>
        <w:t>、推进整改工作中存在问题</w:t>
      </w:r>
    </w:p>
    <w:p w14:paraId="5BBC276B">
      <w:pPr>
        <w:pStyle w:val="6"/>
        <w:spacing w:line="570" w:lineRule="exact"/>
        <w:ind w:firstLine="640" w:firstLineChars="0"/>
      </w:pPr>
      <w:r>
        <w:rPr>
          <w:rFonts w:hint="eastAsia"/>
        </w:rPr>
        <w:t>（一）</w:t>
      </w:r>
      <w:r>
        <w:t>个别同志在系统学习政治理论过程中显得不够到位，未能有效地将党的全面领导要求落实到具体行动中，关于如何用党的创新理论指导实践活动与推动工作方面还需提高。今后需要进一步加强理论武装，并将其转化为促进各项事业发展的实际效能。</w:t>
      </w:r>
    </w:p>
    <w:p w14:paraId="5C412AA2">
      <w:pPr>
        <w:pStyle w:val="6"/>
        <w:spacing w:line="570" w:lineRule="exact"/>
        <w:ind w:firstLine="640" w:firstLineChars="0"/>
      </w:pPr>
      <w:r>
        <w:rPr>
          <w:rFonts w:hint="eastAsia"/>
        </w:rPr>
        <w:t>（二）</w:t>
      </w:r>
      <w:r>
        <w:t>在执行“百千万工程”方面，有个别同志显示出了执行力度的不足，影响了人居环境整治的成效，存在贯彻落实上级决策部署不到位的情况。今后需要加强坚定性与精准性，确保上级决定与要求得到全面有效地贯彻实施。</w:t>
      </w:r>
    </w:p>
    <w:p w14:paraId="4B0D5EDE">
      <w:pPr>
        <w:pStyle w:val="6"/>
        <w:spacing w:line="570" w:lineRule="exact"/>
        <w:ind w:firstLine="640" w:firstLineChars="0"/>
      </w:pPr>
      <w:r>
        <w:rPr>
          <w:rFonts w:hint="eastAsia"/>
        </w:rPr>
        <w:t>（三）</w:t>
      </w:r>
      <w:r>
        <w:t>面对领导班子和干部人才队伍建设的一些不足之处，以及基层党组织建设的相对薄弱环节，部分同志需提高对于落实巡察巡视、审计整改主体责任的认识，增强整改成果的实效性。接下来必须深化党的组织建设和干部队伍建设，确保党的组织路线在各项工作中的全面实施，为党的长期执政和国家的长远发展筑牢坚实的组织基础。</w:t>
      </w:r>
    </w:p>
    <w:p w14:paraId="5AFD5891">
      <w:pPr>
        <w:pStyle w:val="2"/>
        <w:spacing w:line="570" w:lineRule="exact"/>
        <w:ind w:firstLine="640" w:firstLineChars="0"/>
      </w:pPr>
      <w:r>
        <w:rPr>
          <w:rFonts w:hint="eastAsia"/>
        </w:rPr>
        <w:t>五</w:t>
      </w:r>
      <w:r>
        <w:t>、下一步计划</w:t>
      </w:r>
    </w:p>
    <w:p w14:paraId="443B9E6C">
      <w:pPr>
        <w:pStyle w:val="6"/>
        <w:spacing w:line="570" w:lineRule="exact"/>
        <w:ind w:firstLine="640"/>
        <w:rPr>
          <w:rFonts w:eastAsia="方正仿宋_GB2312"/>
          <w:b/>
          <w:bCs/>
        </w:rPr>
      </w:pPr>
      <w:r>
        <w:t>鳌江镇将使巡察整改的过程变成反思工作、查找差距、改进提高的过程，推动全镇各项工作全面进步，全面过硬，切实把巡察成果体现在“百千万工程”实施成效上来。</w:t>
      </w:r>
    </w:p>
    <w:p w14:paraId="3E3976B7">
      <w:pPr>
        <w:pStyle w:val="6"/>
        <w:spacing w:line="570" w:lineRule="exact"/>
        <w:ind w:firstLine="640" w:firstLineChars="0"/>
        <w:rPr>
          <w:color w:val="000000"/>
        </w:rPr>
      </w:pPr>
      <w:r>
        <w:rPr>
          <w:rFonts w:hint="eastAsia" w:ascii="楷体_GB2312" w:hAnsi="楷体_GB2312" w:eastAsia="楷体_GB2312" w:cs="楷体_GB2312"/>
          <w:color w:val="000000"/>
        </w:rPr>
        <w:t>（一）强化组织领导和村级监督工作。</w:t>
      </w:r>
      <w:r>
        <w:rPr>
          <w:color w:val="000000"/>
        </w:rPr>
        <w:t>镇委要立足巡察整改后续工作的第一责任、主体责任，加强组织领导，</w:t>
      </w:r>
      <w:r>
        <w:t>统一指挥调度，</w:t>
      </w:r>
      <w:r>
        <w:rPr>
          <w:color w:val="000000"/>
        </w:rPr>
        <w:t>落实</w:t>
      </w:r>
      <w:r>
        <w:t>牵头的镇领导对牵头的相关领域工作负总责，切实加强对后续整改过程的指导督促，要求</w:t>
      </w:r>
      <w:r>
        <w:rPr>
          <w:color w:val="000000"/>
        </w:rPr>
        <w:t>镇政府各部门和各村做到思想统一、步调一致，协同对取得阶段性成效的突出问题进一步攻关，</w:t>
      </w:r>
      <w:r>
        <w:t>抓住</w:t>
      </w:r>
      <w:r>
        <w:rPr>
          <w:color w:val="000000"/>
        </w:rPr>
        <w:t>问题关键环节，尽早尽快破解难题。</w:t>
      </w:r>
    </w:p>
    <w:p w14:paraId="3D8C3062">
      <w:pPr>
        <w:pStyle w:val="6"/>
        <w:spacing w:line="570" w:lineRule="exact"/>
        <w:ind w:firstLine="640" w:firstLineChars="0"/>
        <w:rPr>
          <w:color w:val="000000"/>
        </w:rPr>
      </w:pPr>
      <w:r>
        <w:rPr>
          <w:rFonts w:hint="eastAsia" w:ascii="楷体_GB2312" w:hAnsi="楷体_GB2312" w:eastAsia="楷体_GB2312" w:cs="楷体_GB2312"/>
          <w:color w:val="000000"/>
        </w:rPr>
        <w:t>（二）完善巡察整改工作台账，强化成果运用。</w:t>
      </w:r>
      <w:r>
        <w:rPr>
          <w:color w:val="000000"/>
        </w:rPr>
        <w:t>通过完善巡察</w:t>
      </w:r>
      <w:r>
        <w:t>整改工作“明白账”，</w:t>
      </w:r>
      <w:r>
        <w:rPr>
          <w:color w:val="000000"/>
        </w:rPr>
        <w:t>对已落实整改并长期坚持的典型问题，针对易发多发的重点领域定期复盘，举一反三，进行长期防控，达到以整改促提升、以整改建机制、以整改堵漏洞、以整改防隐患的工作目的。</w:t>
      </w:r>
    </w:p>
    <w:p w14:paraId="15568BAC">
      <w:pPr>
        <w:pStyle w:val="6"/>
        <w:spacing w:line="570" w:lineRule="exact"/>
        <w:ind w:firstLine="640" w:firstLineChars="0"/>
      </w:pPr>
      <w:r>
        <w:rPr>
          <w:rFonts w:hint="eastAsia" w:ascii="楷体_GB2312" w:hAnsi="楷体_GB2312" w:eastAsia="楷体_GB2312" w:cs="楷体_GB2312"/>
          <w:color w:val="000000"/>
        </w:rPr>
        <w:t>（三）加快制度建设，明确整改责任。</w:t>
      </w:r>
      <w:r>
        <w:rPr>
          <w:color w:val="000000"/>
        </w:rPr>
        <w:t>镇委落实各室</w:t>
      </w:r>
      <w:r>
        <w:rPr>
          <w:rFonts w:hint="eastAsia"/>
          <w:color w:val="000000"/>
        </w:rPr>
        <w:t>（中心）</w:t>
      </w:r>
      <w:r>
        <w:rPr>
          <w:color w:val="000000"/>
        </w:rPr>
        <w:t>、各村</w:t>
      </w:r>
      <w:r>
        <w:rPr>
          <w:rFonts w:hint="eastAsia"/>
          <w:color w:val="000000"/>
        </w:rPr>
        <w:t>（社区）</w:t>
      </w:r>
      <w:r>
        <w:rPr>
          <w:color w:val="000000"/>
        </w:rPr>
        <w:t>对现有制度进行一次全面梳理，围绕本轮巡察整改工作，把握制度建设工作重点，抓紧研究建立缺位的新制度，切实形成便于遵循、便于落实、便于检查的制度体系，同时修订完善已有制度，重申对于实践证明行之有效、群众认可的制度，加大制度执行力度，对违反制度规定的，要发现一起、查处一起，依纪依法严肃处理。</w:t>
      </w:r>
    </w:p>
    <w:p w14:paraId="0AFD1355">
      <w:pPr>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欢迎广大干部群众对巡察整改落实情况进行监督。如有意见建议，请及时向我们反映。联系方式：0663-6290181；邮政地址：惠来县鳌江镇新兴街1607号；电子邮箱：hlaj6290181@163.com。</w:t>
      </w:r>
    </w:p>
    <w:p w14:paraId="60798A5D">
      <w:pPr>
        <w:spacing w:line="570" w:lineRule="exact"/>
        <w:rPr>
          <w:rFonts w:ascii="Times New Roman" w:hAnsi="Times New Roman" w:eastAsia="仿宋_GB2312" w:cs="Times New Roman"/>
          <w:color w:val="000000"/>
          <w:sz w:val="32"/>
          <w:szCs w:val="32"/>
        </w:rPr>
      </w:pPr>
    </w:p>
    <w:p w14:paraId="100057AE">
      <w:pPr>
        <w:spacing w:line="570" w:lineRule="exact"/>
        <w:ind w:firstLine="640" w:firstLineChars="200"/>
        <w:jc w:val="center"/>
        <w:rPr>
          <w:rFonts w:hint="eastAsia" w:ascii="仿宋_GB2312" w:hAnsi="仿宋_GB2312" w:eastAsia="仿宋_GB2312" w:cs="仿宋_GB2312"/>
          <w:color w:val="000000"/>
          <w:sz w:val="32"/>
          <w:szCs w:val="32"/>
        </w:rPr>
      </w:pPr>
      <w:r>
        <w:rPr>
          <w:rFonts w:hint="eastAsia" w:ascii="Times New Roman" w:hAnsi="Times New Roman" w:eastAsia="仿宋_GB2312" w:cs="Times New Roman"/>
          <w:color w:val="000000"/>
          <w:sz w:val="32"/>
          <w:szCs w:val="32"/>
        </w:rPr>
        <w:t xml:space="preserve">                                  </w:t>
      </w:r>
      <w:r>
        <w:rPr>
          <w:rFonts w:hint="eastAsia" w:ascii="仿宋_GB2312" w:hAnsi="仿宋_GB2312" w:eastAsia="仿宋_GB2312" w:cs="仿宋_GB2312"/>
          <w:color w:val="000000"/>
          <w:sz w:val="32"/>
          <w:szCs w:val="32"/>
        </w:rPr>
        <w:t>中共鳌江镇委</w:t>
      </w:r>
    </w:p>
    <w:p w14:paraId="179A44F0">
      <w:pPr>
        <w:spacing w:line="57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2025年8月18日</w:t>
      </w:r>
    </w:p>
    <w:sectPr>
      <w:pgSz w:w="11906" w:h="16838"/>
      <w:pgMar w:top="2098" w:right="1531"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E0"/>
    <w:rsid w:val="000927E7"/>
    <w:rsid w:val="00527251"/>
    <w:rsid w:val="005F7DB0"/>
    <w:rsid w:val="00793DE0"/>
    <w:rsid w:val="00964532"/>
    <w:rsid w:val="144813FA"/>
    <w:rsid w:val="152F3811"/>
    <w:rsid w:val="16DA39B4"/>
    <w:rsid w:val="1E77266A"/>
    <w:rsid w:val="235C475D"/>
    <w:rsid w:val="23E63F13"/>
    <w:rsid w:val="367E309C"/>
    <w:rsid w:val="38AF65F7"/>
    <w:rsid w:val="39C5735E"/>
    <w:rsid w:val="43D01846"/>
    <w:rsid w:val="48715CFD"/>
    <w:rsid w:val="496F6519"/>
    <w:rsid w:val="4B5D3211"/>
    <w:rsid w:val="4CD82614"/>
    <w:rsid w:val="53D70EE6"/>
    <w:rsid w:val="56335C00"/>
    <w:rsid w:val="5ECF329A"/>
    <w:rsid w:val="6EFB0020"/>
    <w:rsid w:val="736C7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overflowPunct w:val="0"/>
      <w:topLinePunct/>
      <w:ind w:firstLine="632" w:firstLineChars="200"/>
      <w:jc w:val="both"/>
      <w:outlineLvl w:val="0"/>
    </w:pPr>
    <w:rPr>
      <w:rFonts w:ascii="Times New Roman" w:hAnsi="Times New Roman" w:eastAsia="黑体" w:cs="Times New Roman"/>
      <w:kern w:val="44"/>
      <w:sz w:val="32"/>
      <w:szCs w:val="32"/>
      <w:lang w:val="en-US" w:eastAsia="zh-CN" w:bidi="ar-SA"/>
    </w:rPr>
  </w:style>
  <w:style w:type="paragraph" w:styleId="3">
    <w:name w:val="heading 2"/>
    <w:next w:val="1"/>
    <w:qFormat/>
    <w:uiPriority w:val="0"/>
    <w:pPr>
      <w:keepNext/>
      <w:keepLines/>
      <w:widowControl w:val="0"/>
      <w:overflowPunct w:val="0"/>
      <w:topLinePunct/>
      <w:ind w:firstLine="632" w:firstLineChars="200"/>
      <w:jc w:val="both"/>
      <w:outlineLvl w:val="1"/>
    </w:pPr>
    <w:rPr>
      <w:rFonts w:ascii="Times New Roman" w:hAnsi="Times New Roman" w:eastAsia="楷体" w:cs="Times New Roman"/>
      <w:kern w:val="2"/>
      <w:sz w:val="32"/>
      <w:szCs w:val="32"/>
      <w:lang w:val="en-US" w:eastAsia="zh-CN" w:bidi="ar-SA"/>
    </w:rPr>
  </w:style>
  <w:style w:type="paragraph" w:styleId="4">
    <w:name w:val="heading 3"/>
    <w:next w:val="1"/>
    <w:qFormat/>
    <w:uiPriority w:val="0"/>
    <w:pPr>
      <w:keepNext/>
      <w:keepLines/>
      <w:widowControl w:val="0"/>
      <w:overflowPunct w:val="0"/>
      <w:topLinePunct/>
      <w:ind w:firstLine="632" w:firstLineChars="200"/>
      <w:jc w:val="both"/>
      <w:outlineLvl w:val="2"/>
    </w:pPr>
    <w:rPr>
      <w:rFonts w:ascii="Times New Roman" w:hAnsi="Times New Roman" w:eastAsia="仿宋_GB2312" w:cs="Times New Roman"/>
      <w:kern w:val="2"/>
      <w:sz w:val="32"/>
      <w:szCs w:val="32"/>
      <w:lang w:val="en-US" w:eastAsia="zh-CN" w:bidi="ar-SA"/>
    </w:rPr>
  </w:style>
  <w:style w:type="paragraph" w:styleId="5">
    <w:name w:val="heading 4"/>
    <w:next w:val="1"/>
    <w:qFormat/>
    <w:uiPriority w:val="0"/>
    <w:pPr>
      <w:keepNext/>
      <w:keepLines/>
      <w:widowControl w:val="0"/>
      <w:overflowPunct w:val="0"/>
      <w:topLinePunct/>
      <w:ind w:firstLine="632" w:firstLineChars="200"/>
      <w:jc w:val="both"/>
      <w:outlineLvl w:val="3"/>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qFormat/>
    <w:uiPriority w:val="0"/>
    <w:pPr>
      <w:widowControl w:val="0"/>
      <w:overflowPunct w:val="0"/>
      <w:topLinePunct/>
      <w:ind w:firstLine="632" w:firstLineChars="200"/>
      <w:jc w:val="both"/>
    </w:pPr>
    <w:rPr>
      <w:rFonts w:ascii="Times New Roman" w:hAnsi="Times New Roman" w:eastAsia="仿宋_GB2312" w:cs="Times New Roman"/>
      <w:kern w:val="2"/>
      <w:sz w:val="32"/>
      <w:szCs w:val="32"/>
      <w:lang w:val="en-US" w:eastAsia="zh-CN" w:bidi="ar-SA"/>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paragraph" w:styleId="9">
    <w:name w:val="Title"/>
    <w:next w:val="1"/>
    <w:qFormat/>
    <w:uiPriority w:val="99"/>
    <w:pPr>
      <w:widowControl w:val="0"/>
      <w:overflowPunct w:val="0"/>
      <w:topLinePunct/>
      <w:jc w:val="center"/>
    </w:pPr>
    <w:rPr>
      <w:rFonts w:ascii="Times New Roman" w:hAnsi="Times New Roman" w:eastAsia="方正小标宋_GBK" w:cs="Times New Roman"/>
      <w:kern w:val="2"/>
      <w:sz w:val="44"/>
      <w:szCs w:val="32"/>
      <w:lang w:val="en-US" w:eastAsia="zh-CN" w:bidi="ar-SA"/>
    </w:rPr>
  </w:style>
  <w:style w:type="character" w:styleId="12">
    <w:name w:val="Emphasis"/>
    <w:basedOn w:val="11"/>
    <w:qFormat/>
    <w:uiPriority w:val="0"/>
    <w:rPr>
      <w:i/>
    </w:rPr>
  </w:style>
  <w:style w:type="character" w:customStyle="1" w:styleId="13">
    <w:name w:val="页眉 字符"/>
    <w:basedOn w:val="11"/>
    <w:link w:val="8"/>
    <w:qFormat/>
    <w:uiPriority w:val="0"/>
    <w:rPr>
      <w:rFonts w:asciiTheme="minorHAnsi" w:hAnsiTheme="minorHAnsi" w:eastAsiaTheme="minorEastAsia" w:cstheme="minorBidi"/>
      <w:kern w:val="2"/>
      <w:sz w:val="18"/>
      <w:szCs w:val="18"/>
    </w:rPr>
  </w:style>
  <w:style w:type="character" w:customStyle="1" w:styleId="14">
    <w:name w:val="页脚 字符"/>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10240</Words>
  <Characters>10761</Characters>
  <Lines>245</Lines>
  <Paragraphs>183</Paragraphs>
  <TotalTime>3</TotalTime>
  <ScaleCrop>false</ScaleCrop>
  <LinksUpToDate>false</LinksUpToDate>
  <CharactersWithSpaces>10863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2025-07-21T06:57:00Z</dcterms:created>
  <dc:creator>Administrator</dc:creator>
  <cp:lastModifiedBy>Fire. Fill.</cp:lastModifiedBy>
  <cp:lastPrinted>2025-08-18T08:22:00Z</cp:lastPrinted>
  <dcterms:modified xsi:type="dcterms:W3CDTF">2025-08-20T07:10:03Z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E7C90941AA5146B6B3EDA036F6EDA0C7_13</vt:lpwstr>
  </property>
  <property fmtid="{D5CDD505-2E9C-101B-9397-08002B2CF9AE}" pid="4" name="KSOTemplateDocerSaveRecord">
    <vt:lpwstr>eyJoZGlkIjoiNDAyY2EwNzgzMTc4MzU1MTRmNjBiZjBjYzk5NTAyYzMiLCJ1c2VySWQiOiI1NDE0NjQ0NDgifQ==</vt:lpwstr>
  </property>
</Properties>
</file>