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惠来县</w:t>
      </w:r>
      <w:r>
        <w:rPr>
          <w:rFonts w:hint="eastAsia" w:asciiTheme="majorEastAsia" w:hAnsiTheme="majorEastAsia" w:eastAsiaTheme="majorEastAsia" w:cstheme="majorEastAsia"/>
          <w:sz w:val="44"/>
          <w:szCs w:val="44"/>
          <w:lang w:eastAsia="zh-CN"/>
        </w:rPr>
        <w:t>人口</w:t>
      </w:r>
      <w:r>
        <w:rPr>
          <w:rFonts w:hint="eastAsia" w:asciiTheme="majorEastAsia" w:hAnsiTheme="majorEastAsia" w:eastAsiaTheme="majorEastAsia" w:cstheme="majorEastAsia"/>
          <w:sz w:val="44"/>
          <w:szCs w:val="44"/>
        </w:rPr>
        <w:t>和计划生育局2015年部门决算公开说明概况</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部门主要职责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主要职责：贯彻执行国家和省有关卫生和计划生育、中医药工作的法律法规和方针政策，拟订卫生和计划生育以及促进中医药事业发展的规划、发展战略，并组织实施；起草相关的地方规范性文件、管理办法，提出相关政策建议；负责协调推进全县医药卫生体制改革和医疗保障，统筹规划卫生和计划生育服务资源配置，指导区域卫生和计划生育规划的编制和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机构设置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按照部门决算编报要求本部门预算本级预算，</w:t>
      </w:r>
      <w:r>
        <w:rPr>
          <w:rFonts w:hint="eastAsia" w:ascii="仿宋" w:hAnsi="仿宋" w:eastAsia="仿宋" w:cs="仿宋"/>
          <w:sz w:val="32"/>
          <w:szCs w:val="32"/>
          <w:lang w:eastAsia="zh-CN"/>
        </w:rPr>
        <w:t>没有下属单位。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、2015年度收入支出决算总体情况说明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2015年度总收入</w:t>
      </w:r>
      <w:r>
        <w:rPr>
          <w:rFonts w:hint="eastAsia" w:ascii="仿宋" w:hAnsi="仿宋" w:eastAsia="仿宋" w:cs="仿宋"/>
          <w:sz w:val="32"/>
          <w:szCs w:val="32"/>
          <w:lang w:val="en-US" w:eastAsia="zh-CN"/>
        </w:rPr>
        <w:t>2254.44</w:t>
      </w:r>
      <w:r>
        <w:rPr>
          <w:rFonts w:hint="eastAsia" w:ascii="仿宋" w:hAnsi="仿宋" w:eastAsia="仿宋" w:cs="仿宋"/>
          <w:sz w:val="32"/>
          <w:szCs w:val="32"/>
        </w:rPr>
        <w:t>万元，其中本年收入</w:t>
      </w:r>
      <w:r>
        <w:rPr>
          <w:rFonts w:hint="eastAsia" w:ascii="仿宋" w:hAnsi="仿宋" w:eastAsia="仿宋" w:cs="仿宋"/>
          <w:sz w:val="32"/>
          <w:szCs w:val="32"/>
          <w:lang w:val="en-US" w:eastAsia="zh-CN"/>
        </w:rPr>
        <w:t>2254.44</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2015年度总支出</w:t>
      </w:r>
      <w:r>
        <w:rPr>
          <w:rFonts w:hint="eastAsia" w:ascii="仿宋" w:hAnsi="仿宋" w:eastAsia="仿宋" w:cs="仿宋"/>
          <w:sz w:val="32"/>
          <w:szCs w:val="32"/>
          <w:lang w:val="en-US" w:eastAsia="zh-CN"/>
        </w:rPr>
        <w:t>2254.44</w:t>
      </w:r>
      <w:r>
        <w:rPr>
          <w:rFonts w:hint="eastAsia" w:ascii="仿宋" w:hAnsi="仿宋" w:eastAsia="仿宋" w:cs="仿宋"/>
          <w:sz w:val="32"/>
          <w:szCs w:val="32"/>
        </w:rPr>
        <w:t>万元，其中本年支出</w:t>
      </w:r>
      <w:r>
        <w:rPr>
          <w:rFonts w:hint="eastAsia" w:ascii="仿宋" w:hAnsi="仿宋" w:eastAsia="仿宋" w:cs="仿宋"/>
          <w:sz w:val="32"/>
          <w:szCs w:val="32"/>
          <w:lang w:val="en-US" w:eastAsia="zh-CN"/>
        </w:rPr>
        <w:t>2254.44</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、2015年度财政拨款收入支出总表说明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2015年度财政拨款收入合计</w:t>
      </w:r>
      <w:r>
        <w:rPr>
          <w:rFonts w:hint="eastAsia" w:ascii="仿宋" w:hAnsi="仿宋" w:eastAsia="仿宋" w:cs="仿宋"/>
          <w:sz w:val="32"/>
          <w:szCs w:val="32"/>
          <w:lang w:val="en-US" w:eastAsia="zh-CN"/>
        </w:rPr>
        <w:t>2254.44</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2015年度财政拨款支出合计</w:t>
      </w:r>
      <w:r>
        <w:rPr>
          <w:rFonts w:hint="eastAsia" w:ascii="仿宋" w:hAnsi="仿宋" w:eastAsia="仿宋" w:cs="仿宋"/>
          <w:sz w:val="32"/>
          <w:szCs w:val="32"/>
          <w:lang w:val="en-US" w:eastAsia="zh-CN"/>
        </w:rPr>
        <w:t>2254.44</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、2015年度财政拨款“三公”经费支出决算情况说明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2015年度“三公”经费财政拨款支出决算为</w:t>
      </w:r>
      <w:r>
        <w:rPr>
          <w:rFonts w:hint="eastAsia" w:ascii="仿宋" w:hAnsi="仿宋" w:eastAsia="仿宋" w:cs="仿宋"/>
          <w:sz w:val="32"/>
          <w:szCs w:val="32"/>
          <w:lang w:val="en-US" w:eastAsia="zh-CN"/>
        </w:rPr>
        <w:t>18.18</w:t>
      </w:r>
      <w:r>
        <w:rPr>
          <w:rFonts w:hint="eastAsia" w:ascii="仿宋" w:hAnsi="仿宋" w:eastAsia="仿宋" w:cs="仿宋"/>
          <w:sz w:val="32"/>
          <w:szCs w:val="32"/>
        </w:rPr>
        <w:t>万元，其中：公务用车购置及运行维护费支出决算为</w:t>
      </w:r>
      <w:r>
        <w:rPr>
          <w:rFonts w:hint="eastAsia" w:ascii="仿宋" w:hAnsi="仿宋" w:eastAsia="仿宋" w:cs="仿宋"/>
          <w:sz w:val="32"/>
          <w:szCs w:val="32"/>
          <w:lang w:val="en-US" w:eastAsia="zh-CN"/>
        </w:rPr>
        <w:t>13.3</w:t>
      </w:r>
      <w:r>
        <w:rPr>
          <w:rFonts w:hint="eastAsia" w:ascii="仿宋" w:hAnsi="仿宋" w:eastAsia="仿宋" w:cs="仿宋"/>
          <w:sz w:val="32"/>
          <w:szCs w:val="32"/>
        </w:rPr>
        <w:t>万元；公务接待费支出决算为</w:t>
      </w:r>
      <w:r>
        <w:rPr>
          <w:rFonts w:hint="eastAsia" w:ascii="仿宋" w:hAnsi="仿宋" w:eastAsia="仿宋" w:cs="仿宋"/>
          <w:sz w:val="32"/>
          <w:szCs w:val="32"/>
          <w:lang w:val="en-US" w:eastAsia="zh-CN"/>
        </w:rPr>
        <w:t>4.88</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六、其他重要事项的情况说明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（一）机关运行经费支出情况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2015</w:t>
      </w:r>
      <w:r>
        <w:rPr>
          <w:rFonts w:hint="eastAsia" w:ascii="仿宋" w:hAnsi="仿宋" w:eastAsia="仿宋" w:cs="仿宋"/>
          <w:sz w:val="32"/>
          <w:szCs w:val="32"/>
          <w:lang w:eastAsia="zh-CN"/>
        </w:rPr>
        <w:t>年本机关运行经费支出</w:t>
      </w:r>
      <w:r>
        <w:rPr>
          <w:rFonts w:hint="eastAsia" w:ascii="仿宋" w:hAnsi="仿宋" w:eastAsia="仿宋" w:cs="仿宋"/>
          <w:sz w:val="32"/>
          <w:szCs w:val="32"/>
          <w:lang w:val="en-US" w:eastAsia="zh-CN"/>
        </w:rPr>
        <w:t>2254.44</w:t>
      </w:r>
      <w:r>
        <w:rPr>
          <w:rFonts w:hint="eastAsia" w:ascii="仿宋" w:hAnsi="仿宋" w:eastAsia="仿宋" w:cs="仿宋"/>
          <w:sz w:val="32"/>
          <w:szCs w:val="32"/>
          <w:lang w:eastAsia="zh-CN"/>
        </w:rPr>
        <w:t>万元（与部门决算中行政单位和参照公务员法管理的事业单位一般公共预算财政拨款基本支出中公用经费之和保持一致），主要原因是加大对乡镇公共卫生投入使用。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（二）政府采购支出情况说明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2015</w:t>
      </w:r>
      <w:r>
        <w:rPr>
          <w:rFonts w:hint="eastAsia" w:ascii="仿宋" w:hAnsi="仿宋" w:eastAsia="仿宋" w:cs="仿宋"/>
          <w:sz w:val="32"/>
          <w:szCs w:val="32"/>
          <w:lang w:eastAsia="zh-CN"/>
        </w:rPr>
        <w:t>年本局没有政府采购支出。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（三）国有资产占用情况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截至</w:t>
      </w:r>
      <w:r>
        <w:rPr>
          <w:rFonts w:hint="eastAsia" w:ascii="仿宋" w:hAnsi="仿宋" w:eastAsia="仿宋" w:cs="仿宋"/>
          <w:sz w:val="32"/>
          <w:szCs w:val="32"/>
          <w:lang w:val="en-US" w:eastAsia="zh-CN"/>
        </w:rPr>
        <w:t>2015</w:t>
      </w:r>
      <w:r>
        <w:rPr>
          <w:rFonts w:hint="eastAsia" w:ascii="仿宋" w:hAnsi="仿宋" w:eastAsia="仿宋" w:cs="仿宋"/>
          <w:sz w:val="32"/>
          <w:szCs w:val="32"/>
          <w:lang w:eastAsia="zh-CN"/>
        </w:rPr>
        <w:t>年12月31日，本局共有车辆</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名词解释</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firstLine="321" w:firstLineChars="100"/>
        <w:jc w:val="both"/>
        <w:textAlignment w:val="auto"/>
        <w:outlineLvl w:val="9"/>
        <w:rPr>
          <w:rFonts w:hint="eastAsia" w:ascii="仿宋_GB2312" w:eastAsia="仿宋_GB2312"/>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4</w:t>
      </w:r>
      <w:r>
        <w:rPr>
          <w:rFonts w:hint="eastAsia" w:ascii="仿宋_GB2312" w:eastAsia="仿宋_GB2312"/>
          <w:b/>
          <w:sz w:val="32"/>
          <w:szCs w:val="32"/>
        </w:rPr>
        <w:t>、其他收入：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5</w:t>
      </w:r>
      <w:r>
        <w:rPr>
          <w:rFonts w:hint="eastAsia" w:ascii="仿宋_GB2312" w:eastAsia="仿宋_GB2312"/>
          <w:b/>
          <w:sz w:val="32"/>
          <w:szCs w:val="32"/>
        </w:rPr>
        <w:t>、用事业基金弥补收支差额：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6</w:t>
      </w:r>
      <w:r>
        <w:rPr>
          <w:rFonts w:hint="eastAsia" w:ascii="仿宋_GB2312" w:eastAsia="仿宋_GB2312"/>
          <w:b/>
          <w:sz w:val="32"/>
          <w:szCs w:val="32"/>
        </w:rPr>
        <w:t>、年初结转和结余：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7</w:t>
      </w:r>
      <w:r>
        <w:rPr>
          <w:rFonts w:hint="eastAsia" w:ascii="仿宋_GB2312" w:eastAsia="仿宋_GB2312"/>
          <w:b/>
          <w:sz w:val="32"/>
          <w:szCs w:val="32"/>
        </w:rPr>
        <w:t>、结余分配：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8</w:t>
      </w:r>
      <w:r>
        <w:rPr>
          <w:rFonts w:hint="eastAsia" w:ascii="仿宋_GB2312" w:eastAsia="仿宋_GB2312"/>
          <w:b/>
          <w:sz w:val="32"/>
          <w:szCs w:val="32"/>
        </w:rPr>
        <w:t>、年末结转和结余：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9</w:t>
      </w:r>
      <w:r>
        <w:rPr>
          <w:rFonts w:hint="eastAsia" w:ascii="仿宋_GB2312" w:eastAsia="仿宋_GB2312"/>
          <w:b/>
          <w:sz w:val="32"/>
          <w:szCs w:val="32"/>
        </w:rPr>
        <w:t>、基本支出：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10</w:t>
      </w:r>
      <w:r>
        <w:rPr>
          <w:rFonts w:hint="eastAsia" w:ascii="仿宋_GB2312" w:eastAsia="仿宋_GB2312"/>
          <w:b/>
          <w:sz w:val="32"/>
          <w:szCs w:val="32"/>
        </w:rPr>
        <w:t>、项目支出：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11</w:t>
      </w:r>
      <w:r>
        <w:rPr>
          <w:rFonts w:hint="eastAsia" w:ascii="仿宋_GB2312" w:eastAsia="仿宋_GB2312"/>
          <w:b/>
          <w:sz w:val="32"/>
          <w:szCs w:val="32"/>
        </w:rPr>
        <w:t>、经营支出：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lang w:val="en-US" w:eastAsia="zh-CN"/>
        </w:rPr>
        <w:t>12</w:t>
      </w:r>
      <w:r>
        <w:rPr>
          <w:rFonts w:hint="eastAsia" w:ascii="仿宋_GB2312" w:eastAsia="仿宋_GB2312"/>
          <w:b/>
          <w:sz w:val="32"/>
          <w:szCs w:val="32"/>
        </w:rPr>
        <w:t>、“三公”经费：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_GB2312" w:eastAsia="仿宋_GB2312"/>
          <w:b/>
          <w:sz w:val="32"/>
          <w:szCs w:val="32"/>
          <w:lang w:val="en-US" w:eastAsia="zh-CN"/>
        </w:rPr>
        <w:t>13</w:t>
      </w:r>
      <w:r>
        <w:rPr>
          <w:rFonts w:hint="eastAsia" w:ascii="仿宋_GB2312" w:eastAsia="仿宋_GB2312"/>
          <w:b/>
          <w:sz w:val="32"/>
          <w:szCs w:val="32"/>
        </w:rPr>
        <w:t>、机关运行经费：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67462"/>
    <w:rsid w:val="04745A4B"/>
    <w:rsid w:val="1236469D"/>
    <w:rsid w:val="59C8729D"/>
    <w:rsid w:val="71B67462"/>
    <w:rsid w:val="72B145A0"/>
    <w:rsid w:val="74BD6B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惠来县卫生局</Company>
  <Pages>1</Pages>
  <Words>0</Words>
  <Characters>0</Characters>
  <Lines>0</Lines>
  <Paragraphs>0</Paragraphs>
  <TotalTime>4</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2018-04-04T02:33:00Z</dcterms:created>
  <dc:creator>Administrator</dc:creator>
  <cp:lastModifiedBy>Administrator</cp:lastModifiedBy>
  <dcterms:modified xsi:type="dcterms:W3CDTF">2018-04-10T00:44:50Z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