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vertAlign w:val="baseline"/>
          <w:lang w:val="en-US" w:eastAsia="zh-CN"/>
        </w:rPr>
      </w:pPr>
      <w:r>
        <w:rPr>
          <w:rFonts w:hint="eastAsia" w:asciiTheme="majorEastAsia" w:hAnsiTheme="majorEastAsia" w:eastAsiaTheme="majorEastAsia" w:cstheme="majorEastAsia"/>
          <w:b/>
          <w:bCs/>
          <w:sz w:val="44"/>
          <w:szCs w:val="44"/>
          <w:lang w:val="en-US" w:eastAsia="zh-CN"/>
        </w:rPr>
        <w:t>惠来县财政局人才招聘、评价、流动等环节中县级审批事项目录</w:t>
      </w:r>
    </w:p>
    <w:tbl>
      <w:tblPr>
        <w:tblStyle w:val="3"/>
        <w:tblW w:w="13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975"/>
        <w:gridCol w:w="2115"/>
        <w:gridCol w:w="5910"/>
        <w:gridCol w:w="354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trPr>
        <w:tc>
          <w:tcPr>
            <w:tcW w:w="547"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序号</w:t>
            </w:r>
          </w:p>
        </w:tc>
        <w:tc>
          <w:tcPr>
            <w:tcW w:w="975"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事项类型</w:t>
            </w:r>
          </w:p>
        </w:tc>
        <w:tc>
          <w:tcPr>
            <w:tcW w:w="2115"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事项名称</w:t>
            </w:r>
          </w:p>
        </w:tc>
        <w:tc>
          <w:tcPr>
            <w:tcW w:w="5910"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责任事项</w:t>
            </w:r>
          </w:p>
        </w:tc>
        <w:tc>
          <w:tcPr>
            <w:tcW w:w="3540"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问责依据及监督方式</w:t>
            </w:r>
          </w:p>
        </w:tc>
        <w:tc>
          <w:tcPr>
            <w:tcW w:w="780"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9" w:hRule="atLeast"/>
        </w:trPr>
        <w:tc>
          <w:tcPr>
            <w:tcW w:w="547" w:type="dxa"/>
            <w:vAlign w:val="center"/>
          </w:tcPr>
          <w:p>
            <w:p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w:t>
            </w:r>
          </w:p>
        </w:tc>
        <w:tc>
          <w:tcPr>
            <w:tcW w:w="975"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其他</w:t>
            </w:r>
          </w:p>
        </w:tc>
        <w:tc>
          <w:tcPr>
            <w:tcW w:w="2115"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政府采购评审专家管理</w:t>
            </w:r>
          </w:p>
        </w:tc>
        <w:tc>
          <w:tcPr>
            <w:tcW w:w="5910" w:type="dxa"/>
            <w:vAlign w:val="center"/>
          </w:tcPr>
          <w:p>
            <w:pPr>
              <w:numPr>
                <w:ilvl w:val="0"/>
                <w:numId w:val="1"/>
              </w:num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事前责任：及时对举报投诉信息进行核查，对举报属实的，及时转入立案查处环节。</w:t>
            </w:r>
          </w:p>
          <w:p>
            <w:pPr>
              <w:numPr>
                <w:ilvl w:val="0"/>
                <w:numId w:val="1"/>
              </w:num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事中责任：全面、客观、公正开展政府采购监督检查活动。</w:t>
            </w:r>
            <w:bookmarkStart w:id="0" w:name="_GoBack"/>
            <w:bookmarkEnd w:id="0"/>
          </w:p>
          <w:p>
            <w:pPr>
              <w:numPr>
                <w:ilvl w:val="0"/>
                <w:numId w:val="1"/>
              </w:num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4"/>
                <w:szCs w:val="24"/>
                <w:vertAlign w:val="baseline"/>
                <w:lang w:val="en-US" w:eastAsia="zh-CN"/>
              </w:rPr>
              <w:t>事后责任：在对政府采购活动监督检查过程中发现的涉嫌违法违规行为的给予处罚，构成犯罪的，依法移送司法机关处理。</w:t>
            </w:r>
          </w:p>
        </w:tc>
        <w:tc>
          <w:tcPr>
            <w:tcW w:w="3540" w:type="dxa"/>
            <w:vAlign w:val="center"/>
          </w:tcPr>
          <w:p>
            <w:pPr>
              <w:numPr>
                <w:ilvl w:val="0"/>
                <w:numId w:val="0"/>
              </w:numPr>
              <w:jc w:val="both"/>
              <w:rPr>
                <w:rFonts w:hint="eastAsia" w:ascii="Calibri" w:hAnsi="Calibri" w:eastAsia="仿宋" w:cs="Calibri"/>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1.问责依据：</w:t>
            </w:r>
            <w:r>
              <w:rPr>
                <w:rFonts w:hint="default" w:ascii="Calibri" w:hAnsi="Calibri" w:eastAsia="仿宋" w:cs="Calibri"/>
                <w:b w:val="0"/>
                <w:bCs w:val="0"/>
                <w:sz w:val="24"/>
                <w:szCs w:val="24"/>
                <w:vertAlign w:val="baseline"/>
                <w:lang w:val="en-US" w:eastAsia="zh-CN"/>
              </w:rPr>
              <w:t>①</w:t>
            </w:r>
            <w:r>
              <w:rPr>
                <w:rFonts w:hint="eastAsia" w:ascii="Calibri" w:hAnsi="Calibri" w:eastAsia="仿宋" w:cs="Calibri"/>
                <w:b w:val="0"/>
                <w:bCs w:val="0"/>
                <w:sz w:val="24"/>
                <w:szCs w:val="24"/>
                <w:vertAlign w:val="baseline"/>
                <w:lang w:val="en-US" w:eastAsia="zh-CN"/>
              </w:rPr>
              <w:t>《行政处罚法》；</w:t>
            </w:r>
            <w:r>
              <w:rPr>
                <w:rFonts w:hint="default" w:ascii="Calibri" w:hAnsi="Calibri" w:eastAsia="仿宋" w:cs="Calibri"/>
                <w:b w:val="0"/>
                <w:bCs w:val="0"/>
                <w:sz w:val="24"/>
                <w:szCs w:val="24"/>
                <w:vertAlign w:val="baseline"/>
                <w:lang w:val="en-US" w:eastAsia="zh-CN"/>
              </w:rPr>
              <w:t>②</w:t>
            </w:r>
            <w:r>
              <w:rPr>
                <w:rFonts w:hint="eastAsia" w:ascii="Calibri" w:hAnsi="Calibri" w:eastAsia="仿宋" w:cs="Calibri"/>
                <w:b w:val="0"/>
                <w:bCs w:val="0"/>
                <w:sz w:val="24"/>
                <w:szCs w:val="24"/>
                <w:vertAlign w:val="baseline"/>
                <w:lang w:val="en-US" w:eastAsia="zh-CN"/>
              </w:rPr>
              <w:t>《行政机关公务员处分条例》第二十一、二十三条；</w:t>
            </w:r>
            <w:r>
              <w:rPr>
                <w:rFonts w:hint="default" w:ascii="Calibri" w:hAnsi="Calibri" w:eastAsia="仿宋" w:cs="Calibri"/>
                <w:b w:val="0"/>
                <w:bCs w:val="0"/>
                <w:sz w:val="24"/>
                <w:szCs w:val="24"/>
                <w:vertAlign w:val="baseline"/>
                <w:lang w:val="en-US" w:eastAsia="zh-CN"/>
              </w:rPr>
              <w:t>③</w:t>
            </w:r>
            <w:r>
              <w:rPr>
                <w:rFonts w:hint="eastAsia" w:ascii="Calibri" w:hAnsi="Calibri" w:eastAsia="仿宋" w:cs="Calibri"/>
                <w:b w:val="0"/>
                <w:bCs w:val="0"/>
                <w:sz w:val="24"/>
                <w:szCs w:val="24"/>
                <w:vertAlign w:val="baseline"/>
                <w:lang w:val="en-US" w:eastAsia="zh-CN"/>
              </w:rPr>
              <w:t>其他问责依据。</w:t>
            </w:r>
          </w:p>
          <w:p>
            <w:pPr>
              <w:numPr>
                <w:ilvl w:val="0"/>
                <w:numId w:val="2"/>
              </w:numPr>
              <w:jc w:val="both"/>
              <w:rPr>
                <w:rFonts w:hint="default" w:ascii="Calibri" w:hAnsi="Calibri" w:eastAsia="仿宋" w:cs="Calibri"/>
                <w:b w:val="0"/>
                <w:bCs w:val="0"/>
                <w:sz w:val="24"/>
                <w:szCs w:val="24"/>
                <w:vertAlign w:val="baseline"/>
                <w:lang w:val="en-US" w:eastAsia="zh-CN"/>
              </w:rPr>
            </w:pPr>
            <w:r>
              <w:rPr>
                <w:rFonts w:hint="eastAsia" w:ascii="Calibri" w:hAnsi="Calibri" w:eastAsia="仿宋" w:cs="Calibri"/>
                <w:b w:val="0"/>
                <w:bCs w:val="0"/>
                <w:sz w:val="24"/>
                <w:szCs w:val="24"/>
                <w:vertAlign w:val="baseline"/>
                <w:lang w:val="en-US" w:eastAsia="zh-CN"/>
              </w:rPr>
              <w:t>监督方式：惠来县财政局财监办，0663-6612017</w:t>
            </w:r>
          </w:p>
        </w:tc>
        <w:tc>
          <w:tcPr>
            <w:tcW w:w="780" w:type="dxa"/>
            <w:vAlign w:val="center"/>
          </w:tcPr>
          <w:p>
            <w:pPr>
              <w:numPr>
                <w:ilvl w:val="0"/>
                <w:numId w:val="0"/>
              </w:numPr>
              <w:jc w:val="both"/>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4" w:hRule="atLeast"/>
        </w:trPr>
        <w:tc>
          <w:tcPr>
            <w:tcW w:w="547" w:type="dxa"/>
            <w:vAlign w:val="center"/>
          </w:tcPr>
          <w:p>
            <w:pPr>
              <w:jc w:val="center"/>
              <w:rPr>
                <w:rFonts w:hint="default" w:ascii="仿宋" w:hAnsi="仿宋" w:eastAsia="仿宋" w:cs="仿宋"/>
                <w:b w:val="0"/>
                <w:bCs w:val="0"/>
                <w:sz w:val="32"/>
                <w:szCs w:val="32"/>
                <w:vertAlign w:val="baseline"/>
                <w:lang w:val="en-US" w:eastAsia="zh-CN"/>
              </w:rPr>
            </w:pPr>
          </w:p>
        </w:tc>
        <w:tc>
          <w:tcPr>
            <w:tcW w:w="975" w:type="dxa"/>
            <w:vAlign w:val="center"/>
          </w:tcPr>
          <w:p>
            <w:pPr>
              <w:jc w:val="center"/>
              <w:rPr>
                <w:rFonts w:hint="eastAsia" w:ascii="仿宋" w:hAnsi="仿宋" w:eastAsia="仿宋" w:cs="仿宋"/>
                <w:b w:val="0"/>
                <w:bCs w:val="0"/>
                <w:sz w:val="32"/>
                <w:szCs w:val="32"/>
                <w:vertAlign w:val="baseline"/>
                <w:lang w:val="en-US" w:eastAsia="zh-CN"/>
              </w:rPr>
            </w:pPr>
          </w:p>
        </w:tc>
        <w:tc>
          <w:tcPr>
            <w:tcW w:w="2115" w:type="dxa"/>
            <w:vAlign w:val="center"/>
          </w:tcPr>
          <w:p>
            <w:pPr>
              <w:jc w:val="center"/>
              <w:rPr>
                <w:rFonts w:hint="eastAsia" w:ascii="仿宋" w:hAnsi="仿宋" w:eastAsia="仿宋" w:cs="仿宋"/>
                <w:b w:val="0"/>
                <w:bCs w:val="0"/>
                <w:sz w:val="32"/>
                <w:szCs w:val="32"/>
                <w:vertAlign w:val="baseline"/>
                <w:lang w:val="en-US" w:eastAsia="zh-CN"/>
              </w:rPr>
            </w:pPr>
          </w:p>
        </w:tc>
        <w:tc>
          <w:tcPr>
            <w:tcW w:w="5910" w:type="dxa"/>
            <w:vAlign w:val="center"/>
          </w:tcPr>
          <w:p>
            <w:pPr>
              <w:jc w:val="center"/>
              <w:rPr>
                <w:rFonts w:hint="eastAsia" w:ascii="仿宋" w:hAnsi="仿宋" w:eastAsia="仿宋" w:cs="仿宋"/>
                <w:b w:val="0"/>
                <w:bCs w:val="0"/>
                <w:sz w:val="32"/>
                <w:szCs w:val="32"/>
                <w:vertAlign w:val="baseline"/>
                <w:lang w:val="en-US" w:eastAsia="zh-CN"/>
              </w:rPr>
            </w:pPr>
          </w:p>
        </w:tc>
        <w:tc>
          <w:tcPr>
            <w:tcW w:w="3540" w:type="dxa"/>
            <w:vAlign w:val="center"/>
          </w:tcPr>
          <w:p>
            <w:pPr>
              <w:jc w:val="center"/>
              <w:rPr>
                <w:rFonts w:hint="eastAsia" w:ascii="仿宋" w:hAnsi="仿宋" w:eastAsia="仿宋" w:cs="仿宋"/>
                <w:b w:val="0"/>
                <w:bCs w:val="0"/>
                <w:sz w:val="32"/>
                <w:szCs w:val="32"/>
                <w:vertAlign w:val="baseline"/>
                <w:lang w:val="en-US" w:eastAsia="zh-CN"/>
              </w:rPr>
            </w:pPr>
          </w:p>
        </w:tc>
        <w:tc>
          <w:tcPr>
            <w:tcW w:w="780" w:type="dxa"/>
            <w:vAlign w:val="center"/>
          </w:tcPr>
          <w:p>
            <w:pPr>
              <w:jc w:val="center"/>
              <w:rPr>
                <w:rFonts w:hint="eastAsia" w:ascii="仿宋" w:hAnsi="仿宋" w:eastAsia="仿宋" w:cs="仿宋"/>
                <w:b w:val="0"/>
                <w:bCs w:val="0"/>
                <w:sz w:val="32"/>
                <w:szCs w:val="32"/>
                <w:vertAlign w:val="baseline"/>
                <w:lang w:val="en-US" w:eastAsia="zh-CN"/>
              </w:rPr>
            </w:pPr>
          </w:p>
        </w:tc>
      </w:tr>
    </w:tbl>
    <w:p>
      <w:pPr>
        <w:jc w:val="center"/>
        <w:rPr>
          <w:rFonts w:hint="eastAsia" w:asciiTheme="majorEastAsia" w:hAnsiTheme="majorEastAsia" w:eastAsiaTheme="majorEastAsia" w:cstheme="majorEastAsia"/>
          <w:b/>
          <w:bCs/>
          <w:sz w:val="44"/>
          <w:szCs w:val="4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61A497"/>
    <w:multiLevelType w:val="singleLevel"/>
    <w:tmpl w:val="EB61A497"/>
    <w:lvl w:ilvl="0" w:tentative="0">
      <w:start w:val="1"/>
      <w:numFmt w:val="decimal"/>
      <w:lvlText w:val="%1."/>
      <w:lvlJc w:val="left"/>
      <w:pPr>
        <w:tabs>
          <w:tab w:val="left" w:pos="312"/>
        </w:tabs>
      </w:pPr>
    </w:lvl>
  </w:abstractNum>
  <w:abstractNum w:abstractNumId="1">
    <w:nsid w:val="1BFA5B83"/>
    <w:multiLevelType w:val="singleLevel"/>
    <w:tmpl w:val="1BFA5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75B44"/>
    <w:rsid w:val="1BF90E46"/>
    <w:rsid w:val="25B0622D"/>
    <w:rsid w:val="7D475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2019-04-12T01:52:00Z</dcterms:created>
  <dc:creator>林小咸007</dc:creator>
  <cp:lastModifiedBy>林小咸007</cp:lastModifiedBy>
  <dcterms:modified xsi:type="dcterms:W3CDTF">2019-04-17T08:47:40Z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