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Arial" w:asciiTheme="minorEastAsia" w:hAnsiTheme="minorEastAsia"/>
          <w:b/>
          <w:bCs/>
          <w:kern w:val="0"/>
          <w:sz w:val="40"/>
          <w:szCs w:val="40"/>
        </w:rPr>
      </w:pPr>
      <w:r>
        <w:rPr>
          <w:rFonts w:cs="Arial" w:asciiTheme="minorEastAsia" w:hAnsiTheme="minorEastAsia"/>
          <w:b/>
          <w:bCs/>
          <w:kern w:val="0"/>
          <w:sz w:val="40"/>
          <w:szCs w:val="40"/>
        </w:rPr>
        <w:t>惠来县科技局201</w:t>
      </w:r>
      <w:r>
        <w:rPr>
          <w:rFonts w:hint="eastAsia" w:cs="Arial" w:asciiTheme="minorEastAsia" w:hAnsiTheme="minorEastAsia"/>
          <w:b/>
          <w:bCs/>
          <w:kern w:val="0"/>
          <w:sz w:val="40"/>
          <w:szCs w:val="40"/>
          <w:lang w:val="en-US" w:eastAsia="zh-CN"/>
        </w:rPr>
        <w:t>8</w:t>
      </w:r>
      <w:r>
        <w:rPr>
          <w:rFonts w:cs="Arial" w:asciiTheme="minorEastAsia" w:hAnsiTheme="minorEastAsia"/>
          <w:b/>
          <w:bCs/>
          <w:kern w:val="0"/>
          <w:sz w:val="40"/>
          <w:szCs w:val="40"/>
        </w:rPr>
        <w:t>年部门预算</w:t>
      </w:r>
    </w:p>
    <w:p>
      <w:pPr>
        <w:widowControl/>
        <w:spacing w:line="378" w:lineRule="atLeast"/>
        <w:jc w:val="left"/>
        <w:rPr>
          <w:rFonts w:cs="Arial" w:asciiTheme="minorEastAsia" w:hAnsiTheme="minorEastAsia"/>
          <w:color w:val="333333"/>
          <w:kern w:val="0"/>
          <w:szCs w:val="21"/>
        </w:rPr>
      </w:pPr>
      <w:r>
        <w:rPr>
          <w:rFonts w:cs="Arial" w:asciiTheme="minorEastAsia" w:hAnsiTheme="minorEastAsia"/>
          <w:color w:val="333333"/>
          <w:kern w:val="0"/>
          <w:szCs w:val="21"/>
        </w:rPr>
        <w:t> </w:t>
      </w:r>
      <w:r>
        <w:rPr>
          <w:rFonts w:hint="eastAsia" w:cs="Arial" w:asciiTheme="minorEastAsia" w:hAnsiTheme="minorEastAsia"/>
          <w:b/>
          <w:bCs/>
          <w:color w:val="333333"/>
          <w:kern w:val="0"/>
          <w:szCs w:val="21"/>
        </w:rPr>
        <w:t>  </w:t>
      </w:r>
    </w:p>
    <w:p>
      <w:pPr>
        <w:pStyle w:val="6"/>
        <w:widowControl/>
        <w:numPr>
          <w:ilvl w:val="0"/>
          <w:numId w:val="1"/>
        </w:numPr>
        <w:spacing w:line="378" w:lineRule="atLeast"/>
        <w:ind w:firstLineChars="0"/>
        <w:jc w:val="left"/>
        <w:rPr>
          <w:rFonts w:hint="eastAsia" w:cs="Arial" w:asciiTheme="minorEastAsia" w:hAnsiTheme="minorEastAsia"/>
          <w:b/>
          <w:bCs/>
          <w:color w:val="333333"/>
          <w:kern w:val="0"/>
          <w:sz w:val="24"/>
          <w:szCs w:val="24"/>
        </w:rPr>
      </w:pPr>
      <w:r>
        <w:rPr>
          <w:rFonts w:hint="eastAsia" w:cs="Arial" w:asciiTheme="minorEastAsia" w:hAnsiTheme="minorEastAsia"/>
          <w:b/>
          <w:bCs/>
          <w:color w:val="333333"/>
          <w:kern w:val="0"/>
          <w:sz w:val="24"/>
          <w:szCs w:val="24"/>
        </w:rPr>
        <w:t>惠来县科技局概况</w:t>
      </w:r>
    </w:p>
    <w:p>
      <w:pPr>
        <w:pStyle w:val="6"/>
        <w:widowControl/>
        <w:spacing w:line="378" w:lineRule="atLeast"/>
        <w:ind w:left="600" w:firstLine="0" w:firstLineChars="0"/>
        <w:jc w:val="left"/>
        <w:rPr>
          <w:rFonts w:cs="Arial" w:asciiTheme="minorEastAsia" w:hAnsiTheme="minorEastAsia"/>
          <w:b/>
          <w:bCs/>
          <w:color w:val="333333"/>
          <w:kern w:val="0"/>
          <w:sz w:val="24"/>
          <w:szCs w:val="24"/>
        </w:rPr>
      </w:pPr>
      <w:bookmarkStart w:id="0" w:name="_GoBack"/>
      <w:r>
        <w:rPr>
          <w:rFonts w:hint="eastAsia" w:cs="Arial" w:asciiTheme="minorEastAsia" w:hAnsiTheme="minorEastAsia"/>
          <w:b/>
          <w:bCs/>
          <w:color w:val="333333"/>
          <w:kern w:val="0"/>
          <w:sz w:val="24"/>
          <w:szCs w:val="24"/>
        </w:rPr>
        <w:t>（一）主要职责</w:t>
      </w:r>
    </w:p>
    <w:bookmarkEnd w:id="0"/>
    <w:p>
      <w:pPr>
        <w:pStyle w:val="5"/>
        <w:spacing w:before="0" w:beforeAutospacing="0" w:after="0" w:afterAutospacing="0" w:line="378" w:lineRule="atLeast"/>
        <w:ind w:firstLine="560"/>
        <w:rPr>
          <w:rFonts w:hint="eastAsia" w:cs="Arial" w:asciiTheme="minorEastAsia" w:hAnsiTheme="minorEastAsia" w:eastAsiaTheme="minorEastAsia"/>
          <w:color w:val="333333"/>
          <w:sz w:val="24"/>
          <w:szCs w:val="24"/>
        </w:rPr>
      </w:pPr>
      <w:r>
        <w:rPr>
          <w:rFonts w:hint="eastAsia" w:cs="Arial" w:asciiTheme="minorEastAsia" w:hAnsiTheme="minorEastAsia" w:eastAsiaTheme="minorEastAsia"/>
          <w:color w:val="333333"/>
          <w:sz w:val="24"/>
          <w:szCs w:val="24"/>
        </w:rPr>
        <w:t>1、贯彻执行国家和省市有关科学技术发展和科技促进经济与社会发展的方针、政策和法规；拟订本县科技规章和科技体制改革的政策措施并组织实施；会同县有关部门组织编制科技发展中长期规划和年度计划。</w:t>
      </w:r>
    </w:p>
    <w:p>
      <w:pPr>
        <w:pStyle w:val="5"/>
        <w:spacing w:before="0" w:beforeAutospacing="0" w:after="0" w:afterAutospacing="0" w:line="378" w:lineRule="atLeast"/>
        <w:ind w:firstLine="560"/>
        <w:rPr>
          <w:rFonts w:hint="eastAsia" w:cs="Arial" w:asciiTheme="minorEastAsia" w:hAnsiTheme="minorEastAsia" w:eastAsiaTheme="minorEastAsia"/>
          <w:color w:val="333333"/>
          <w:sz w:val="24"/>
          <w:szCs w:val="24"/>
        </w:rPr>
      </w:pPr>
      <w:r>
        <w:rPr>
          <w:rFonts w:hint="eastAsia" w:cs="Arial" w:asciiTheme="minorEastAsia" w:hAnsiTheme="minorEastAsia" w:eastAsiaTheme="minorEastAsia"/>
          <w:color w:val="333333"/>
          <w:sz w:val="24"/>
          <w:szCs w:val="24"/>
        </w:rPr>
        <w:t>2、研究科技促进经济与社会发展的重大问题，会同县有关部门研究确定全县科技发展重大布局、优先领域；参与对经济社会发展有重大影响的跨部门、多学科的综合项目、引进项目的论证与决策。</w:t>
      </w:r>
    </w:p>
    <w:p>
      <w:pPr>
        <w:pStyle w:val="5"/>
        <w:spacing w:before="0" w:beforeAutospacing="0" w:after="0" w:afterAutospacing="0" w:line="378" w:lineRule="atLeast"/>
        <w:ind w:firstLine="560"/>
        <w:rPr>
          <w:rFonts w:hint="eastAsia" w:cs="Arial" w:asciiTheme="minorEastAsia" w:hAnsiTheme="minorEastAsia" w:eastAsiaTheme="minorEastAsia"/>
          <w:color w:val="333333"/>
          <w:sz w:val="24"/>
          <w:szCs w:val="24"/>
        </w:rPr>
      </w:pPr>
      <w:r>
        <w:rPr>
          <w:rFonts w:hint="eastAsia" w:cs="Arial" w:asciiTheme="minorEastAsia" w:hAnsiTheme="minorEastAsia" w:eastAsiaTheme="minorEastAsia"/>
          <w:color w:val="333333"/>
          <w:sz w:val="24"/>
          <w:szCs w:val="24"/>
        </w:rPr>
        <w:t>3、强化高新技术产业化及应用技术的开发与推广工作，指导科技成果转化；指导各种科技示范推广基地的建设；组织科技项目、农业发展、工业技术创新、科技攻关等科技计划以及本县科技成果的推广与应用。</w:t>
      </w:r>
    </w:p>
    <w:p>
      <w:pPr>
        <w:pStyle w:val="5"/>
        <w:spacing w:before="0" w:beforeAutospacing="0" w:after="0" w:afterAutospacing="0" w:line="378" w:lineRule="atLeast"/>
        <w:ind w:firstLine="560"/>
        <w:rPr>
          <w:rFonts w:hint="eastAsia" w:cs="Arial" w:asciiTheme="minorEastAsia" w:hAnsiTheme="minorEastAsia" w:eastAsiaTheme="minorEastAsia"/>
          <w:color w:val="333333"/>
          <w:sz w:val="24"/>
          <w:szCs w:val="24"/>
        </w:rPr>
      </w:pPr>
      <w:r>
        <w:rPr>
          <w:rFonts w:hint="eastAsia" w:cs="Arial" w:asciiTheme="minorEastAsia" w:hAnsiTheme="minorEastAsia" w:eastAsiaTheme="minorEastAsia"/>
          <w:color w:val="333333"/>
          <w:sz w:val="24"/>
          <w:szCs w:val="24"/>
        </w:rPr>
        <w:t>4、研究科技人才资源的合理配置。参与县研究制定专业技术人才队伍建设的规划、政策措施和专业技术人员的继续教育。</w:t>
      </w:r>
    </w:p>
    <w:p>
      <w:pPr>
        <w:pStyle w:val="5"/>
        <w:spacing w:before="0" w:beforeAutospacing="0" w:after="0" w:afterAutospacing="0" w:line="378" w:lineRule="atLeast"/>
        <w:ind w:firstLine="560"/>
        <w:rPr>
          <w:rFonts w:hint="eastAsia" w:cs="Arial" w:asciiTheme="minorEastAsia" w:hAnsiTheme="minorEastAsia" w:eastAsiaTheme="minorEastAsia"/>
          <w:color w:val="333333"/>
          <w:sz w:val="24"/>
          <w:szCs w:val="24"/>
        </w:rPr>
      </w:pPr>
      <w:r>
        <w:rPr>
          <w:rFonts w:hint="eastAsia" w:cs="Arial" w:asciiTheme="minorEastAsia" w:hAnsiTheme="minorEastAsia" w:eastAsiaTheme="minorEastAsia"/>
          <w:color w:val="333333"/>
          <w:sz w:val="24"/>
          <w:szCs w:val="24"/>
        </w:rPr>
        <w:t>5、加强科技计划的宏观管理，负责管理监督和使用科技三项经费、科技专项资金和科技发展基金。</w:t>
      </w:r>
    </w:p>
    <w:p>
      <w:pPr>
        <w:pStyle w:val="5"/>
        <w:spacing w:before="0" w:beforeAutospacing="0" w:after="0" w:afterAutospacing="0" w:line="378" w:lineRule="atLeast"/>
        <w:ind w:firstLine="560"/>
        <w:rPr>
          <w:rFonts w:hint="eastAsia" w:cs="Arial" w:asciiTheme="minorEastAsia" w:hAnsiTheme="minorEastAsia" w:eastAsiaTheme="minorEastAsia"/>
          <w:color w:val="333333"/>
          <w:sz w:val="24"/>
          <w:szCs w:val="24"/>
        </w:rPr>
      </w:pPr>
      <w:r>
        <w:rPr>
          <w:rFonts w:hint="eastAsia" w:cs="Arial" w:asciiTheme="minorEastAsia" w:hAnsiTheme="minorEastAsia" w:eastAsiaTheme="minorEastAsia"/>
          <w:color w:val="333333"/>
          <w:sz w:val="24"/>
          <w:szCs w:val="24"/>
        </w:rPr>
        <w:t>6、归口管理科技成果、科技奖励、科技保密、技术市场、与科技相关的知识产权保护工作；促进民营科技工作；制定科学技术普及工作规划，推动科普工作发展；促进科技咨询、科技评估等科技服务机构的发展，推动科技服务体系的建立。</w:t>
      </w:r>
    </w:p>
    <w:p>
      <w:pPr>
        <w:pStyle w:val="5"/>
        <w:spacing w:before="0" w:beforeAutospacing="0" w:after="0" w:afterAutospacing="0" w:line="378" w:lineRule="atLeast"/>
        <w:ind w:firstLine="560"/>
        <w:rPr>
          <w:rFonts w:hint="eastAsia" w:cs="Arial" w:asciiTheme="minorEastAsia" w:hAnsiTheme="minorEastAsia" w:eastAsiaTheme="minorEastAsia"/>
          <w:color w:val="333333"/>
          <w:sz w:val="24"/>
          <w:szCs w:val="24"/>
        </w:rPr>
      </w:pPr>
      <w:r>
        <w:rPr>
          <w:rFonts w:hint="eastAsia" w:cs="Arial" w:asciiTheme="minorEastAsia" w:hAnsiTheme="minorEastAsia" w:eastAsiaTheme="minorEastAsia"/>
          <w:color w:val="333333"/>
          <w:sz w:val="24"/>
          <w:szCs w:val="24"/>
        </w:rPr>
        <w:t>7、负责科技信息、科技宣传、科技统计的管理工作；负责县科技信息网络管理工作。</w:t>
      </w:r>
    </w:p>
    <w:p>
      <w:pPr>
        <w:pStyle w:val="5"/>
        <w:spacing w:before="0" w:beforeAutospacing="0" w:after="0" w:afterAutospacing="0" w:line="378" w:lineRule="atLeast"/>
        <w:ind w:firstLine="560"/>
        <w:rPr>
          <w:rFonts w:hint="eastAsia" w:cs="Arial" w:asciiTheme="minorEastAsia" w:hAnsiTheme="minorEastAsia" w:eastAsiaTheme="minorEastAsia"/>
          <w:color w:val="333333"/>
          <w:sz w:val="24"/>
          <w:szCs w:val="24"/>
        </w:rPr>
      </w:pPr>
      <w:r>
        <w:rPr>
          <w:rFonts w:hint="eastAsia" w:cs="Arial" w:asciiTheme="minorEastAsia" w:hAnsiTheme="minorEastAsia" w:eastAsiaTheme="minorEastAsia"/>
          <w:color w:val="333333"/>
          <w:sz w:val="24"/>
          <w:szCs w:val="24"/>
        </w:rPr>
        <w:t>8、组织制定科技攻关、星火计划、火炬计划、科技成果重点推广计划，重点新产品计划等科技计划及相关的政策措施，并负责申报立项和协助上马。</w:t>
      </w:r>
    </w:p>
    <w:p>
      <w:pPr>
        <w:pStyle w:val="5"/>
        <w:spacing w:before="0" w:beforeAutospacing="0" w:after="0" w:afterAutospacing="0" w:line="378" w:lineRule="atLeast"/>
        <w:ind w:firstLine="560"/>
        <w:rPr>
          <w:rFonts w:hint="eastAsia" w:cs="Arial" w:asciiTheme="minorEastAsia" w:hAnsiTheme="minorEastAsia" w:eastAsiaTheme="minorEastAsia"/>
          <w:color w:val="333333"/>
          <w:sz w:val="24"/>
          <w:szCs w:val="24"/>
        </w:rPr>
      </w:pPr>
      <w:r>
        <w:rPr>
          <w:rFonts w:hint="eastAsia" w:cs="Arial" w:asciiTheme="minorEastAsia" w:hAnsiTheme="minorEastAsia" w:eastAsiaTheme="minorEastAsia"/>
          <w:color w:val="333333"/>
          <w:sz w:val="24"/>
          <w:szCs w:val="24"/>
        </w:rPr>
        <w:t>9、指导和推进有关行业结构调整，推进有关行业的技术进步和科研开发工作，组织实施重大科技项目攻关和引进技术，指导信息技术和系统的推广应用，以及协调与组织本县信息资源的综合开发与利用。</w:t>
      </w:r>
    </w:p>
    <w:p>
      <w:pPr>
        <w:pStyle w:val="5"/>
        <w:spacing w:before="0" w:beforeAutospacing="0" w:after="0" w:afterAutospacing="0" w:line="378" w:lineRule="atLeast"/>
        <w:ind w:firstLine="560"/>
        <w:rPr>
          <w:rFonts w:hint="eastAsia" w:cs="Arial" w:asciiTheme="minorEastAsia" w:hAnsiTheme="minorEastAsia" w:eastAsiaTheme="minorEastAsia"/>
          <w:color w:val="333333"/>
          <w:sz w:val="24"/>
          <w:szCs w:val="24"/>
        </w:rPr>
      </w:pPr>
      <w:r>
        <w:rPr>
          <w:rFonts w:hint="eastAsia" w:cs="Arial" w:asciiTheme="minorEastAsia" w:hAnsiTheme="minorEastAsia" w:eastAsiaTheme="minorEastAsia"/>
          <w:color w:val="333333"/>
          <w:sz w:val="24"/>
          <w:szCs w:val="24"/>
        </w:rPr>
        <w:t>10、贯彻执行国家和省市有关技术市场的法律、法规、方针、政策，结合“入世”与国际接轨，拟订出适应当前形势的规章和政策措施并组织实施；组织研究知识产权事业发展战略和有关知识产权方面的重大问题；协调指导知识产权保护和创新体系的建立。</w:t>
      </w:r>
    </w:p>
    <w:p>
      <w:pPr>
        <w:pStyle w:val="5"/>
        <w:spacing w:before="0" w:beforeAutospacing="0" w:after="0" w:afterAutospacing="0" w:line="378" w:lineRule="atLeast"/>
        <w:ind w:firstLine="560"/>
        <w:rPr>
          <w:rFonts w:hint="eastAsia" w:cs="Arial" w:asciiTheme="minorEastAsia" w:hAnsiTheme="minorEastAsia" w:eastAsiaTheme="minorEastAsia"/>
          <w:color w:val="333333"/>
          <w:sz w:val="24"/>
          <w:szCs w:val="24"/>
        </w:rPr>
      </w:pPr>
      <w:r>
        <w:rPr>
          <w:rFonts w:hint="eastAsia" w:cs="Arial" w:asciiTheme="minorEastAsia" w:hAnsiTheme="minorEastAsia" w:eastAsiaTheme="minorEastAsia"/>
          <w:color w:val="333333"/>
          <w:sz w:val="24"/>
          <w:szCs w:val="24"/>
        </w:rPr>
        <w:t>11、负责专利执法工作，依法处理专利纠纷和查处冒充专利行为；贯彻落实专利优惠政策和措施；指导企业专利工作；组织重大专利技术实施；负责专利市场的规范和管理；负责有关知识产权的宣传教育与培训工作；对专利代理机构和专利评估机构的建立进行初评审。</w:t>
      </w:r>
    </w:p>
    <w:p>
      <w:pPr>
        <w:pStyle w:val="5"/>
        <w:spacing w:before="0" w:beforeAutospacing="0" w:after="0" w:afterAutospacing="0" w:line="378" w:lineRule="atLeast"/>
        <w:ind w:firstLine="560"/>
        <w:rPr>
          <w:rFonts w:hint="eastAsia" w:cs="Arial" w:asciiTheme="minorEastAsia" w:hAnsiTheme="minorEastAsia" w:eastAsiaTheme="minorEastAsia"/>
          <w:color w:val="333333"/>
          <w:sz w:val="24"/>
          <w:szCs w:val="24"/>
        </w:rPr>
      </w:pPr>
      <w:r>
        <w:rPr>
          <w:rFonts w:hint="eastAsia" w:cs="Arial" w:asciiTheme="minorEastAsia" w:hAnsiTheme="minorEastAsia" w:eastAsiaTheme="minorEastAsia"/>
          <w:color w:val="333333"/>
          <w:sz w:val="24"/>
          <w:szCs w:val="24"/>
        </w:rPr>
        <w:t>12、地震的预测预报和防震抗震减灾工作；负责震情速报和地震灾情速报；会同有关部门和协调政府拟定破坏性地震应急预案、综合防御措施。</w:t>
      </w:r>
    </w:p>
    <w:p>
      <w:pPr>
        <w:pStyle w:val="5"/>
        <w:spacing w:before="0" w:beforeAutospacing="0" w:after="0" w:afterAutospacing="0" w:line="378" w:lineRule="atLeast"/>
        <w:ind w:firstLine="560"/>
        <w:rPr>
          <w:rFonts w:cs="Arial" w:asciiTheme="minorEastAsia" w:hAnsiTheme="minorEastAsia" w:eastAsiaTheme="minorEastAsia"/>
          <w:color w:val="333333"/>
          <w:sz w:val="24"/>
          <w:szCs w:val="24"/>
        </w:rPr>
      </w:pPr>
      <w:r>
        <w:rPr>
          <w:rFonts w:hint="eastAsia" w:cs="Arial" w:asciiTheme="minorEastAsia" w:hAnsiTheme="minorEastAsia" w:eastAsiaTheme="minorEastAsia"/>
          <w:color w:val="333333"/>
          <w:sz w:val="24"/>
          <w:szCs w:val="24"/>
        </w:rPr>
        <w:t>13、承办县人民政府和上级科技部门交办的其他事项。</w:t>
      </w:r>
    </w:p>
    <w:p>
      <w:pPr>
        <w:pStyle w:val="5"/>
        <w:spacing w:before="0" w:beforeAutospacing="0" w:after="0" w:afterAutospacing="0" w:line="378" w:lineRule="atLeast"/>
        <w:ind w:firstLine="560"/>
        <w:rPr>
          <w:rFonts w:cs="Arial" w:asciiTheme="minorEastAsia" w:hAnsiTheme="minorEastAsia" w:eastAsiaTheme="minorEastAsia"/>
          <w:color w:val="333333"/>
          <w:sz w:val="24"/>
          <w:szCs w:val="24"/>
        </w:rPr>
      </w:pPr>
      <w:r>
        <w:rPr>
          <w:rFonts w:hint="eastAsia" w:cs="Arial" w:asciiTheme="minorEastAsia" w:hAnsiTheme="minorEastAsia" w:eastAsiaTheme="minorEastAsia"/>
          <w:color w:val="333333"/>
          <w:sz w:val="24"/>
          <w:szCs w:val="24"/>
        </w:rPr>
        <w:t>（二）机构设置</w:t>
      </w:r>
    </w:p>
    <w:p>
      <w:pPr>
        <w:pStyle w:val="5"/>
        <w:spacing w:before="0" w:beforeAutospacing="0" w:after="0" w:afterAutospacing="0" w:line="378" w:lineRule="atLeast"/>
        <w:ind w:firstLine="560"/>
        <w:rPr>
          <w:rFonts w:cs="Arial" w:asciiTheme="minorEastAsia" w:hAnsiTheme="minorEastAsia" w:eastAsiaTheme="minorEastAsia"/>
          <w:color w:val="333333"/>
          <w:sz w:val="24"/>
          <w:szCs w:val="24"/>
        </w:rPr>
      </w:pPr>
      <w:r>
        <w:rPr>
          <w:rFonts w:hint="eastAsia" w:cs="Arial" w:asciiTheme="minorEastAsia" w:hAnsiTheme="minorEastAsia" w:eastAsiaTheme="minorEastAsia"/>
          <w:color w:val="333333"/>
          <w:sz w:val="24"/>
          <w:szCs w:val="24"/>
        </w:rPr>
        <w:t>根据上述职责，惠来县科学技术局内设人事秘书股、科技计划股、知识产权与技术市场股，及属下4个事业单位。</w:t>
      </w:r>
    </w:p>
    <w:p>
      <w:pPr>
        <w:pStyle w:val="6"/>
        <w:widowControl/>
        <w:numPr>
          <w:ilvl w:val="0"/>
          <w:numId w:val="1"/>
        </w:numPr>
        <w:spacing w:line="378" w:lineRule="atLeast"/>
        <w:ind w:firstLineChars="0"/>
        <w:jc w:val="left"/>
        <w:rPr>
          <w:rFonts w:hint="eastAsia" w:cs="Arial" w:asciiTheme="minorEastAsia" w:hAnsiTheme="minorEastAsia"/>
          <w:b/>
          <w:color w:val="333333"/>
          <w:kern w:val="0"/>
          <w:sz w:val="24"/>
          <w:szCs w:val="24"/>
        </w:rPr>
      </w:pPr>
      <w:r>
        <w:rPr>
          <w:rFonts w:hint="eastAsia" w:cs="Arial" w:asciiTheme="minorEastAsia" w:hAnsiTheme="minorEastAsia"/>
          <w:b/>
          <w:color w:val="333333"/>
          <w:kern w:val="0"/>
          <w:sz w:val="24"/>
          <w:szCs w:val="24"/>
        </w:rPr>
        <w:t>惠来县科学技术局201</w:t>
      </w:r>
      <w:r>
        <w:rPr>
          <w:rFonts w:hint="eastAsia" w:cs="Arial" w:asciiTheme="minorEastAsia" w:hAnsiTheme="minorEastAsia"/>
          <w:b/>
          <w:color w:val="333333"/>
          <w:kern w:val="0"/>
          <w:sz w:val="24"/>
          <w:szCs w:val="24"/>
          <w:lang w:val="en-US" w:eastAsia="zh-CN"/>
        </w:rPr>
        <w:t>8</w:t>
      </w:r>
      <w:r>
        <w:rPr>
          <w:rFonts w:hint="eastAsia" w:cs="Arial" w:asciiTheme="minorEastAsia" w:hAnsiTheme="minorEastAsia"/>
          <w:b/>
          <w:color w:val="333333"/>
          <w:kern w:val="0"/>
          <w:sz w:val="24"/>
          <w:szCs w:val="24"/>
        </w:rPr>
        <w:t>年部门预算表（详见附件）</w:t>
      </w:r>
    </w:p>
    <w:p>
      <w:pPr>
        <w:pStyle w:val="6"/>
        <w:widowControl/>
        <w:numPr>
          <w:ilvl w:val="0"/>
          <w:numId w:val="1"/>
        </w:numPr>
        <w:spacing w:line="378" w:lineRule="atLeast"/>
        <w:ind w:firstLineChars="0"/>
        <w:jc w:val="left"/>
        <w:rPr>
          <w:rFonts w:cs="Arial" w:asciiTheme="minorEastAsia" w:hAnsiTheme="minorEastAsia"/>
          <w:b/>
          <w:color w:val="333333"/>
          <w:kern w:val="0"/>
          <w:sz w:val="24"/>
          <w:szCs w:val="24"/>
        </w:rPr>
      </w:pPr>
      <w:r>
        <w:rPr>
          <w:rFonts w:hint="eastAsia" w:cs="Arial" w:asciiTheme="minorEastAsia" w:hAnsiTheme="minorEastAsia"/>
          <w:b/>
          <w:bCs/>
          <w:color w:val="333333"/>
          <w:kern w:val="0"/>
          <w:sz w:val="24"/>
          <w:szCs w:val="24"/>
        </w:rPr>
        <w:t>2017年度预算情况说明</w:t>
      </w:r>
    </w:p>
    <w:p>
      <w:pPr>
        <w:widowControl/>
        <w:spacing w:line="378" w:lineRule="atLeast"/>
        <w:ind w:left="1304" w:hanging="720"/>
        <w:jc w:val="left"/>
        <w:rPr>
          <w:rFonts w:cs="Arial" w:asciiTheme="minorEastAsia" w:hAnsiTheme="minorEastAsia"/>
          <w:color w:val="333333"/>
          <w:kern w:val="0"/>
          <w:sz w:val="24"/>
          <w:szCs w:val="24"/>
        </w:rPr>
      </w:pPr>
      <w:r>
        <w:rPr>
          <w:rFonts w:hint="eastAsia" w:cs="Arial" w:asciiTheme="minorEastAsia" w:hAnsiTheme="minorEastAsia"/>
          <w:b/>
          <w:bCs/>
          <w:color w:val="333333"/>
          <w:kern w:val="0"/>
          <w:sz w:val="24"/>
          <w:szCs w:val="24"/>
        </w:rPr>
        <w:t>(一)部门预算收支增减变化情况</w:t>
      </w:r>
    </w:p>
    <w:p>
      <w:pPr>
        <w:pStyle w:val="5"/>
        <w:spacing w:before="0" w:beforeAutospacing="0" w:after="0" w:afterAutospacing="0" w:line="378" w:lineRule="atLeast"/>
        <w:ind w:firstLine="570"/>
        <w:rPr>
          <w:rFonts w:cs="Arial" w:asciiTheme="minorEastAsia" w:hAnsiTheme="minorEastAsia" w:eastAsiaTheme="minorEastAsia"/>
          <w:color w:val="333333"/>
          <w:sz w:val="24"/>
          <w:szCs w:val="24"/>
        </w:rPr>
      </w:pPr>
      <w:r>
        <w:rPr>
          <w:rFonts w:hint="eastAsia" w:cs="Arial" w:asciiTheme="minorEastAsia" w:hAnsiTheme="minorEastAsia" w:eastAsiaTheme="minorEastAsia"/>
          <w:color w:val="333333"/>
          <w:sz w:val="24"/>
          <w:szCs w:val="24"/>
        </w:rPr>
        <w:t>201</w:t>
      </w:r>
      <w:r>
        <w:rPr>
          <w:rFonts w:hint="eastAsia" w:cs="Arial" w:asciiTheme="minorEastAsia" w:hAnsiTheme="minorEastAsia" w:eastAsiaTheme="minorEastAsia"/>
          <w:color w:val="333333"/>
          <w:sz w:val="24"/>
          <w:szCs w:val="24"/>
          <w:lang w:val="en-US" w:eastAsia="zh-CN"/>
        </w:rPr>
        <w:t>8</w:t>
      </w:r>
      <w:r>
        <w:rPr>
          <w:rFonts w:hint="eastAsia" w:cs="Arial" w:asciiTheme="minorEastAsia" w:hAnsiTheme="minorEastAsia" w:eastAsiaTheme="minorEastAsia"/>
          <w:color w:val="333333"/>
          <w:sz w:val="24"/>
          <w:szCs w:val="24"/>
        </w:rPr>
        <w:t>年度本部门收入预算</w:t>
      </w:r>
      <w:r>
        <w:rPr>
          <w:rFonts w:hint="eastAsia" w:cs="Arial" w:asciiTheme="minorEastAsia" w:hAnsiTheme="minorEastAsia" w:eastAsiaTheme="minorEastAsia"/>
          <w:color w:val="333333"/>
          <w:sz w:val="24"/>
          <w:szCs w:val="24"/>
          <w:lang w:val="en-US" w:eastAsia="zh-CN"/>
        </w:rPr>
        <w:t>298.42</w:t>
      </w:r>
      <w:r>
        <w:rPr>
          <w:rFonts w:hint="eastAsia" w:cs="Arial" w:asciiTheme="minorEastAsia" w:hAnsiTheme="minorEastAsia" w:eastAsiaTheme="minorEastAsia"/>
          <w:color w:val="333333"/>
          <w:sz w:val="24"/>
          <w:szCs w:val="24"/>
        </w:rPr>
        <w:t>万元，比上年度增加了</w:t>
      </w:r>
      <w:r>
        <w:rPr>
          <w:rFonts w:hint="eastAsia" w:cs="Arial" w:asciiTheme="minorEastAsia" w:hAnsiTheme="minorEastAsia" w:eastAsiaTheme="minorEastAsia"/>
          <w:color w:val="333333"/>
          <w:sz w:val="24"/>
          <w:szCs w:val="24"/>
          <w:lang w:val="en-US" w:eastAsia="zh-CN"/>
        </w:rPr>
        <w:t>8.61</w:t>
      </w:r>
      <w:r>
        <w:rPr>
          <w:rFonts w:hint="eastAsia" w:cs="Arial" w:asciiTheme="minorEastAsia" w:hAnsiTheme="minorEastAsia" w:eastAsiaTheme="minorEastAsia"/>
          <w:color w:val="333333"/>
          <w:sz w:val="24"/>
          <w:szCs w:val="24"/>
        </w:rPr>
        <w:t>万元，增长</w:t>
      </w:r>
      <w:r>
        <w:rPr>
          <w:rFonts w:hint="eastAsia" w:cs="Arial" w:asciiTheme="minorEastAsia" w:hAnsiTheme="minorEastAsia" w:eastAsiaTheme="minorEastAsia"/>
          <w:color w:val="333333"/>
          <w:sz w:val="24"/>
          <w:szCs w:val="24"/>
          <w:lang w:val="en-US" w:eastAsia="zh-CN"/>
        </w:rPr>
        <w:t>2.97</w:t>
      </w:r>
      <w:r>
        <w:rPr>
          <w:rFonts w:hint="eastAsia" w:cs="Arial" w:asciiTheme="minorEastAsia" w:hAnsiTheme="minorEastAsia" w:eastAsiaTheme="minorEastAsia"/>
          <w:color w:val="333333"/>
          <w:sz w:val="24"/>
          <w:szCs w:val="24"/>
        </w:rPr>
        <w:t>%，主要原因是工资的正常增长。支出预算</w:t>
      </w:r>
      <w:r>
        <w:rPr>
          <w:rFonts w:hint="eastAsia" w:cs="Arial" w:asciiTheme="minorEastAsia" w:hAnsiTheme="minorEastAsia" w:eastAsiaTheme="minorEastAsia"/>
          <w:color w:val="333333"/>
          <w:sz w:val="24"/>
          <w:szCs w:val="24"/>
          <w:lang w:val="en-US" w:eastAsia="zh-CN"/>
        </w:rPr>
        <w:t>289.42</w:t>
      </w:r>
      <w:r>
        <w:rPr>
          <w:rFonts w:hint="eastAsia" w:cs="Arial" w:asciiTheme="minorEastAsia" w:hAnsiTheme="minorEastAsia" w:eastAsiaTheme="minorEastAsia"/>
          <w:color w:val="333333"/>
          <w:sz w:val="24"/>
          <w:szCs w:val="24"/>
        </w:rPr>
        <w:t>万元，比上年度增加了</w:t>
      </w:r>
      <w:r>
        <w:rPr>
          <w:rFonts w:hint="eastAsia" w:cs="Arial" w:asciiTheme="minorEastAsia" w:hAnsiTheme="minorEastAsia" w:eastAsiaTheme="minorEastAsia"/>
          <w:color w:val="333333"/>
          <w:sz w:val="24"/>
          <w:szCs w:val="24"/>
          <w:lang w:val="en-US" w:eastAsia="zh-CN"/>
        </w:rPr>
        <w:t>8.61</w:t>
      </w:r>
      <w:r>
        <w:rPr>
          <w:rFonts w:hint="eastAsia" w:cs="Arial" w:asciiTheme="minorEastAsia" w:hAnsiTheme="minorEastAsia" w:eastAsiaTheme="minorEastAsia"/>
          <w:color w:val="333333"/>
          <w:sz w:val="24"/>
          <w:szCs w:val="24"/>
        </w:rPr>
        <w:t>万元，增长</w:t>
      </w:r>
      <w:r>
        <w:rPr>
          <w:rFonts w:hint="eastAsia" w:cs="Arial" w:asciiTheme="minorEastAsia" w:hAnsiTheme="minorEastAsia" w:eastAsiaTheme="minorEastAsia"/>
          <w:color w:val="333333"/>
          <w:sz w:val="24"/>
          <w:szCs w:val="24"/>
          <w:lang w:val="en-US" w:eastAsia="zh-CN"/>
        </w:rPr>
        <w:t>2.97</w:t>
      </w:r>
      <w:r>
        <w:rPr>
          <w:rFonts w:hint="eastAsia" w:cs="Arial" w:asciiTheme="minorEastAsia" w:hAnsiTheme="minorEastAsia" w:eastAsiaTheme="minorEastAsia"/>
          <w:color w:val="333333"/>
          <w:sz w:val="24"/>
          <w:szCs w:val="24"/>
        </w:rPr>
        <w:t>%，主要原因是工资的正常增长。</w:t>
      </w:r>
    </w:p>
    <w:p>
      <w:pPr>
        <w:widowControl/>
        <w:spacing w:line="378" w:lineRule="atLeast"/>
        <w:ind w:firstLine="570"/>
        <w:jc w:val="left"/>
        <w:rPr>
          <w:rFonts w:cs="Arial" w:asciiTheme="minorEastAsia" w:hAnsiTheme="minorEastAsia"/>
          <w:color w:val="333333"/>
          <w:kern w:val="0"/>
          <w:sz w:val="24"/>
          <w:szCs w:val="24"/>
        </w:rPr>
      </w:pPr>
      <w:r>
        <w:rPr>
          <w:rFonts w:hint="eastAsia" w:cs="Arial" w:asciiTheme="minorEastAsia" w:hAnsiTheme="minorEastAsia"/>
          <w:b/>
          <w:bCs/>
          <w:color w:val="333333"/>
          <w:kern w:val="0"/>
          <w:sz w:val="24"/>
          <w:szCs w:val="24"/>
        </w:rPr>
        <w:t>（二）“三公”经费安排说明</w:t>
      </w:r>
    </w:p>
    <w:p>
      <w:pPr>
        <w:widowControl/>
        <w:spacing w:line="378" w:lineRule="atLeast"/>
        <w:ind w:firstLine="570"/>
        <w:jc w:val="left"/>
        <w:rPr>
          <w:rFonts w:hint="eastAsia" w:cs="Arial" w:asciiTheme="minorEastAsia" w:hAnsiTheme="minorEastAsia"/>
          <w:color w:val="333333"/>
          <w:kern w:val="0"/>
          <w:sz w:val="24"/>
          <w:szCs w:val="24"/>
        </w:rPr>
      </w:pPr>
      <w:r>
        <w:rPr>
          <w:rFonts w:hint="eastAsia" w:cs="Arial" w:asciiTheme="minorEastAsia" w:hAnsiTheme="minorEastAsia"/>
          <w:color w:val="333333"/>
          <w:kern w:val="0"/>
          <w:sz w:val="24"/>
          <w:szCs w:val="24"/>
        </w:rPr>
        <w:t>201</w:t>
      </w:r>
      <w:r>
        <w:rPr>
          <w:rFonts w:hint="eastAsia" w:cs="Arial" w:asciiTheme="minorEastAsia" w:hAnsiTheme="minorEastAsia"/>
          <w:color w:val="333333"/>
          <w:kern w:val="0"/>
          <w:sz w:val="24"/>
          <w:szCs w:val="24"/>
          <w:lang w:val="en-US" w:eastAsia="zh-CN"/>
        </w:rPr>
        <w:t>8</w:t>
      </w:r>
      <w:r>
        <w:rPr>
          <w:rFonts w:hint="eastAsia" w:cs="Arial" w:asciiTheme="minorEastAsia" w:hAnsiTheme="minorEastAsia"/>
          <w:color w:val="333333"/>
          <w:kern w:val="0"/>
          <w:sz w:val="24"/>
          <w:szCs w:val="24"/>
        </w:rPr>
        <w:t>年本部门“三公”经费安排6.7万元，其中：因公出国（境）费0万元，与上年保持不变；公务用车运行维护费2.8万元，与上年保持不变；公务接费3.9万元，与上年保持不变。</w:t>
      </w:r>
    </w:p>
    <w:p>
      <w:pPr>
        <w:widowControl/>
        <w:spacing w:line="378" w:lineRule="atLeast"/>
        <w:ind w:firstLine="570"/>
        <w:jc w:val="left"/>
        <w:rPr>
          <w:rFonts w:cs="Arial" w:asciiTheme="minorEastAsia" w:hAnsiTheme="minorEastAsia"/>
          <w:kern w:val="0"/>
          <w:sz w:val="24"/>
          <w:szCs w:val="24"/>
        </w:rPr>
      </w:pPr>
      <w:r>
        <w:rPr>
          <w:rFonts w:hint="eastAsia" w:cs="Arial" w:asciiTheme="minorEastAsia" w:hAnsiTheme="minorEastAsia"/>
          <w:b/>
          <w:bCs/>
          <w:kern w:val="0"/>
          <w:sz w:val="24"/>
          <w:szCs w:val="24"/>
        </w:rPr>
        <w:t>（三）机关运行经费安排情况</w:t>
      </w:r>
    </w:p>
    <w:p>
      <w:pPr>
        <w:widowControl/>
        <w:spacing w:line="378" w:lineRule="atLeast"/>
        <w:ind w:firstLine="570"/>
        <w:jc w:val="left"/>
        <w:rPr>
          <w:rFonts w:hint="eastAsia" w:cs="Arial" w:asciiTheme="minorEastAsia" w:hAnsiTheme="minorEastAsia"/>
          <w:kern w:val="0"/>
          <w:sz w:val="24"/>
          <w:szCs w:val="24"/>
        </w:rPr>
      </w:pPr>
      <w:r>
        <w:rPr>
          <w:rFonts w:hint="eastAsia" w:cs="Arial" w:asciiTheme="minorEastAsia" w:hAnsiTheme="minorEastAsia"/>
          <w:kern w:val="0"/>
          <w:sz w:val="24"/>
          <w:szCs w:val="24"/>
        </w:rPr>
        <w:t>201</w:t>
      </w:r>
      <w:r>
        <w:rPr>
          <w:rFonts w:hint="eastAsia" w:cs="Arial" w:asciiTheme="minorEastAsia" w:hAnsiTheme="minorEastAsia"/>
          <w:kern w:val="0"/>
          <w:sz w:val="24"/>
          <w:szCs w:val="24"/>
          <w:lang w:val="en-US" w:eastAsia="zh-CN"/>
        </w:rPr>
        <w:t>8</w:t>
      </w:r>
      <w:r>
        <w:rPr>
          <w:rFonts w:hint="eastAsia" w:cs="Arial" w:asciiTheme="minorEastAsia" w:hAnsiTheme="minorEastAsia"/>
          <w:kern w:val="0"/>
          <w:sz w:val="24"/>
          <w:szCs w:val="24"/>
        </w:rPr>
        <w:t>年本部门机关运行经费安排</w:t>
      </w:r>
      <w:r>
        <w:rPr>
          <w:rFonts w:hint="eastAsia" w:cs="Arial" w:asciiTheme="minorEastAsia" w:hAnsiTheme="minorEastAsia"/>
          <w:kern w:val="0"/>
          <w:sz w:val="24"/>
          <w:szCs w:val="24"/>
          <w:lang w:val="en-US" w:eastAsia="zh-CN"/>
        </w:rPr>
        <w:t>7.65</w:t>
      </w:r>
      <w:r>
        <w:rPr>
          <w:rFonts w:hint="eastAsia" w:cs="Arial" w:asciiTheme="minorEastAsia" w:hAnsiTheme="minorEastAsia"/>
          <w:kern w:val="0"/>
          <w:sz w:val="24"/>
          <w:szCs w:val="24"/>
        </w:rPr>
        <w:t>万元。</w:t>
      </w:r>
      <w:r>
        <w:rPr>
          <w:rFonts w:hint="eastAsia" w:cs="Arial" w:asciiTheme="minorEastAsia" w:hAnsiTheme="minorEastAsia"/>
          <w:kern w:val="0"/>
          <w:sz w:val="24"/>
          <w:szCs w:val="24"/>
          <w:lang w:eastAsia="zh-CN"/>
        </w:rPr>
        <w:t>其中办公费</w:t>
      </w:r>
      <w:r>
        <w:rPr>
          <w:rFonts w:hint="eastAsia" w:cs="Arial" w:asciiTheme="minorEastAsia" w:hAnsiTheme="minorEastAsia"/>
          <w:kern w:val="0"/>
          <w:sz w:val="24"/>
          <w:szCs w:val="24"/>
          <w:lang w:val="en-US" w:eastAsia="zh-CN"/>
        </w:rPr>
        <w:t>1.65，其他交通费6万元。</w:t>
      </w:r>
    </w:p>
    <w:p>
      <w:pPr>
        <w:widowControl/>
        <w:spacing w:line="378" w:lineRule="atLeast"/>
        <w:ind w:firstLine="570"/>
        <w:jc w:val="left"/>
        <w:rPr>
          <w:rFonts w:cs="Arial" w:asciiTheme="minorEastAsia" w:hAnsiTheme="minorEastAsia"/>
          <w:b/>
          <w:kern w:val="0"/>
          <w:sz w:val="24"/>
          <w:szCs w:val="24"/>
        </w:rPr>
      </w:pPr>
      <w:r>
        <w:rPr>
          <w:rFonts w:hint="eastAsia" w:cs="Arial" w:asciiTheme="minorEastAsia" w:hAnsiTheme="minorEastAsia"/>
          <w:b/>
          <w:bCs/>
          <w:kern w:val="0"/>
          <w:sz w:val="24"/>
          <w:szCs w:val="24"/>
        </w:rPr>
        <w:t>（四）政府采购安排情况说明</w:t>
      </w:r>
    </w:p>
    <w:p>
      <w:pPr>
        <w:widowControl/>
        <w:spacing w:line="378" w:lineRule="atLeast"/>
        <w:ind w:firstLine="570"/>
        <w:jc w:val="left"/>
        <w:rPr>
          <w:rFonts w:hint="eastAsia" w:cs="Arial" w:asciiTheme="minorEastAsia" w:hAnsiTheme="minorEastAsia"/>
          <w:kern w:val="0"/>
          <w:sz w:val="24"/>
          <w:szCs w:val="24"/>
        </w:rPr>
      </w:pPr>
      <w:r>
        <w:rPr>
          <w:rFonts w:hint="eastAsia" w:cs="Arial" w:asciiTheme="minorEastAsia" w:hAnsiTheme="minorEastAsia"/>
          <w:kern w:val="0"/>
          <w:sz w:val="24"/>
          <w:szCs w:val="24"/>
        </w:rPr>
        <w:t>2017年度我单位未有预算政府采购事项。</w:t>
      </w:r>
    </w:p>
    <w:p>
      <w:pPr>
        <w:widowControl/>
        <w:spacing w:line="378" w:lineRule="atLeast"/>
        <w:ind w:firstLine="570"/>
        <w:jc w:val="left"/>
        <w:rPr>
          <w:rFonts w:hint="eastAsia" w:cs="Arial" w:asciiTheme="minorEastAsia" w:hAnsiTheme="minorEastAsia"/>
          <w:b/>
          <w:kern w:val="0"/>
          <w:sz w:val="24"/>
          <w:szCs w:val="24"/>
        </w:rPr>
      </w:pPr>
      <w:r>
        <w:rPr>
          <w:rFonts w:hint="eastAsia" w:cs="Arial" w:asciiTheme="minorEastAsia" w:hAnsiTheme="minorEastAsia"/>
          <w:b/>
          <w:kern w:val="0"/>
          <w:sz w:val="24"/>
          <w:szCs w:val="24"/>
        </w:rPr>
        <w:t>（五）国有资产占有使用情况</w:t>
      </w:r>
    </w:p>
    <w:p>
      <w:pPr>
        <w:widowControl/>
        <w:autoSpaceDE w:val="0"/>
        <w:spacing w:line="378" w:lineRule="atLeast"/>
        <w:ind w:firstLine="560"/>
        <w:jc w:val="left"/>
        <w:rPr>
          <w:rFonts w:ascii="宋体" w:hAnsi="宋体"/>
          <w:color w:val="333333"/>
          <w:sz w:val="24"/>
          <w:szCs w:val="24"/>
        </w:rPr>
      </w:pPr>
      <w:r>
        <w:rPr>
          <w:rFonts w:hint="eastAsia" w:ascii="宋体" w:hAnsi="宋体"/>
          <w:color w:val="333333"/>
          <w:kern w:val="0"/>
          <w:sz w:val="24"/>
          <w:szCs w:val="24"/>
        </w:rPr>
        <w:t>截至201</w:t>
      </w:r>
      <w:r>
        <w:rPr>
          <w:rFonts w:hint="eastAsia" w:ascii="宋体" w:hAnsi="宋体"/>
          <w:color w:val="333333"/>
          <w:kern w:val="0"/>
          <w:sz w:val="24"/>
          <w:szCs w:val="24"/>
          <w:lang w:val="en-US" w:eastAsia="zh-CN"/>
        </w:rPr>
        <w:t>7</w:t>
      </w:r>
      <w:r>
        <w:rPr>
          <w:rFonts w:hint="eastAsia" w:ascii="宋体" w:hAnsi="宋体"/>
          <w:color w:val="333333"/>
          <w:kern w:val="0"/>
          <w:sz w:val="24"/>
          <w:szCs w:val="24"/>
        </w:rPr>
        <w:t>年12月31日，本部门公务用车</w:t>
      </w:r>
      <w:r>
        <w:rPr>
          <w:rFonts w:hint="eastAsia" w:ascii="宋体" w:hAnsi="宋体"/>
          <w:color w:val="333333"/>
          <w:kern w:val="0"/>
          <w:sz w:val="24"/>
          <w:szCs w:val="24"/>
          <w:lang w:val="en-US" w:eastAsia="zh-CN"/>
        </w:rPr>
        <w:t>2</w:t>
      </w:r>
      <w:r>
        <w:rPr>
          <w:rFonts w:hint="eastAsia" w:ascii="宋体" w:hAnsi="宋体"/>
          <w:color w:val="333333"/>
          <w:kern w:val="0"/>
          <w:sz w:val="24"/>
          <w:szCs w:val="24"/>
        </w:rPr>
        <w:t>辆，没有单位价值50万元以上的通用设备和单价100万元以上的专用设备。</w:t>
      </w:r>
    </w:p>
    <w:p>
      <w:pPr>
        <w:widowControl/>
        <w:spacing w:line="378" w:lineRule="atLeast"/>
        <w:jc w:val="left"/>
        <w:rPr>
          <w:rFonts w:cs="Arial" w:asciiTheme="minorEastAsia" w:hAnsiTheme="minorEastAsia"/>
          <w:color w:val="333333"/>
          <w:kern w:val="0"/>
          <w:sz w:val="24"/>
          <w:szCs w:val="24"/>
        </w:rPr>
      </w:pPr>
      <w:r>
        <w:rPr>
          <w:rFonts w:hint="eastAsia" w:cs="Arial" w:asciiTheme="minorEastAsia" w:hAnsiTheme="minorEastAsia"/>
          <w:b/>
          <w:bCs/>
          <w:color w:val="333333"/>
          <w:kern w:val="0"/>
          <w:sz w:val="24"/>
          <w:szCs w:val="24"/>
        </w:rPr>
        <w:t>四、名词解释</w:t>
      </w:r>
    </w:p>
    <w:p>
      <w:pPr>
        <w:pStyle w:val="2"/>
        <w:spacing w:before="0" w:beforeAutospacing="0" w:after="0" w:afterAutospacing="0" w:line="378" w:lineRule="atLeast"/>
        <w:ind w:firstLine="480" w:firstLineChars="200"/>
        <w:rPr>
          <w:rFonts w:hint="eastAsia" w:cs="Arial" w:asciiTheme="minorEastAsia" w:hAnsiTheme="minorEastAsia" w:eastAsiaTheme="minorEastAsia"/>
          <w:color w:val="333333"/>
          <w:sz w:val="24"/>
          <w:szCs w:val="24"/>
        </w:rPr>
      </w:pPr>
      <w:r>
        <w:rPr>
          <w:rFonts w:hint="eastAsia" w:cs="Arial" w:asciiTheme="minorEastAsia" w:hAnsiTheme="minorEastAsia" w:eastAsiaTheme="minorEastAsia"/>
          <w:color w:val="333333"/>
          <w:sz w:val="24"/>
          <w:szCs w:val="24"/>
        </w:rPr>
        <w:t>机关运行经费：支出口径包含办公费、印刷费、水电费、邮电费、差旅费、维修（护）费、会议费、培训费、公务接待费、专用材料费、劳务费、委托业务费、公车运行维护费、其他交通费用、其他商品服务支出。</w:t>
      </w:r>
    </w:p>
    <w:p>
      <w:pPr>
        <w:pStyle w:val="2"/>
        <w:spacing w:before="0" w:beforeAutospacing="0" w:after="0" w:afterAutospacing="0" w:line="378" w:lineRule="atLeas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333333"/>
          <w:sz w:val="24"/>
          <w:szCs w:val="24"/>
        </w:rPr>
        <w:t>“三公”经费：按照党中央、国务院有关文件及部门预算管理有关规定，“三公”经费包括因公出国（境）费、公务用车购置及运行费和公务接待费。1、因公出国（境）费是指单位工作人员公务出国（境）的住宿费、旅费、伙食补助费、杂费、培训费等支出。2、公务用车购置及运行费是指单位公务用车购置费及租用费、燃料费、维修费、过路过桥费、保险费、安全奖励费用等支出。公务用车是指用于履行公务的机动车辆，包括领导干部专车、一般公务用车和执法执勤用车。3、公务接待费是指单位按规定开支的各类公务接待（含外宾接待）支出。</w:t>
      </w:r>
    </w:p>
    <w:p>
      <w:pPr>
        <w:widowControl/>
        <w:spacing w:line="378" w:lineRule="atLeast"/>
        <w:ind w:firstLine="584"/>
        <w:jc w:val="left"/>
        <w:rPr>
          <w:rFonts w:cs="Arial" w:asciiTheme="minorEastAsia" w:hAnsiTheme="minorEastAsia"/>
          <w:color w:val="333333"/>
          <w:kern w:val="0"/>
          <w:szCs w:val="21"/>
        </w:rPr>
      </w:pPr>
    </w:p>
    <w:p>
      <w:pPr>
        <w:widowControl/>
        <w:jc w:val="left"/>
        <w:rPr>
          <w:rFonts w:asciiTheme="minorEastAsia" w:hAnsiTheme="minorEastAsia"/>
          <w:szCs w:val="21"/>
        </w:rPr>
      </w:pPr>
      <w:r>
        <w:rPr>
          <w:rFonts w:asciiTheme="minorEastAsia" w:hAnsiTheme="minorEastAsia"/>
          <w:szCs w:val="21"/>
        </w:rPr>
        <w:br w:type="page"/>
      </w:r>
    </w:p>
    <w:tbl>
      <w:tblPr>
        <w:tblStyle w:val="4"/>
        <w:tblW w:w="8379" w:type="dxa"/>
        <w:tblInd w:w="93" w:type="dxa"/>
        <w:tblLayout w:type="fixed"/>
        <w:tblCellMar>
          <w:top w:w="15" w:type="dxa"/>
          <w:left w:w="108" w:type="dxa"/>
          <w:bottom w:w="15" w:type="dxa"/>
          <w:right w:w="108" w:type="dxa"/>
        </w:tblCellMar>
      </w:tblPr>
      <w:tblGrid>
        <w:gridCol w:w="3134"/>
        <w:gridCol w:w="1134"/>
        <w:gridCol w:w="2693"/>
        <w:gridCol w:w="1418"/>
      </w:tblGrid>
      <w:tr>
        <w:tblPrEx>
          <w:tblLayout w:type="fixed"/>
          <w:tblCellMar>
            <w:top w:w="15" w:type="dxa"/>
            <w:left w:w="108" w:type="dxa"/>
            <w:bottom w:w="15" w:type="dxa"/>
            <w:right w:w="108" w:type="dxa"/>
          </w:tblCellMar>
        </w:tblPrEx>
        <w:trPr>
          <w:trHeight w:val="286" w:hRule="atLeast"/>
        </w:trPr>
        <w:tc>
          <w:tcPr>
            <w:tcW w:w="8379" w:type="dxa"/>
            <w:gridSpan w:val="4"/>
            <w:vAlign w:val="bottom"/>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表1</w:t>
            </w:r>
          </w:p>
        </w:tc>
      </w:tr>
      <w:tr>
        <w:tblPrEx>
          <w:tblLayout w:type="fixed"/>
          <w:tblCellMar>
            <w:top w:w="15" w:type="dxa"/>
            <w:left w:w="108" w:type="dxa"/>
            <w:bottom w:w="15" w:type="dxa"/>
            <w:right w:w="108" w:type="dxa"/>
          </w:tblCellMar>
        </w:tblPrEx>
        <w:trPr>
          <w:trHeight w:val="630" w:hRule="atLeast"/>
        </w:trPr>
        <w:tc>
          <w:tcPr>
            <w:tcW w:w="8379" w:type="dxa"/>
            <w:gridSpan w:val="4"/>
            <w:vAlign w:val="center"/>
          </w:tcPr>
          <w:p>
            <w:pPr>
              <w:widowControl/>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收支总体情况表</w:t>
            </w:r>
          </w:p>
        </w:tc>
      </w:tr>
      <w:tr>
        <w:tblPrEx>
          <w:tblLayout w:type="fixed"/>
          <w:tblCellMar>
            <w:top w:w="15" w:type="dxa"/>
            <w:left w:w="108" w:type="dxa"/>
            <w:bottom w:w="15" w:type="dxa"/>
            <w:right w:w="108" w:type="dxa"/>
          </w:tblCellMar>
        </w:tblPrEx>
        <w:trPr>
          <w:trHeight w:val="525" w:hRule="atLeast"/>
        </w:trPr>
        <w:tc>
          <w:tcPr>
            <w:tcW w:w="4268" w:type="dxa"/>
            <w:gridSpan w:val="2"/>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单位名称：惠来县科学技术局</w:t>
            </w:r>
          </w:p>
        </w:tc>
        <w:tc>
          <w:tcPr>
            <w:tcW w:w="4111" w:type="dxa"/>
            <w:gridSpan w:val="2"/>
            <w:tcBorders>
              <w:bottom w:val="single" w:color="000000" w:sz="4" w:space="0"/>
            </w:tcBorders>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单位：万元</w:t>
            </w:r>
          </w:p>
        </w:tc>
      </w:tr>
      <w:tr>
        <w:tblPrEx>
          <w:tblLayout w:type="fixed"/>
          <w:tblCellMar>
            <w:top w:w="15" w:type="dxa"/>
            <w:left w:w="108" w:type="dxa"/>
            <w:bottom w:w="15" w:type="dxa"/>
            <w:right w:w="108" w:type="dxa"/>
          </w:tblCellMar>
        </w:tblPrEx>
        <w:trPr>
          <w:trHeight w:val="630" w:hRule="atLeast"/>
        </w:trPr>
        <w:tc>
          <w:tcPr>
            <w:tcW w:w="4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收    入</w:t>
            </w:r>
          </w:p>
        </w:tc>
        <w:tc>
          <w:tcPr>
            <w:tcW w:w="41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支    出</w:t>
            </w:r>
          </w:p>
        </w:tc>
      </w:tr>
      <w:tr>
        <w:tblPrEx>
          <w:tblLayout w:type="fixed"/>
          <w:tblCellMar>
            <w:top w:w="15" w:type="dxa"/>
            <w:left w:w="108" w:type="dxa"/>
            <w:bottom w:w="15" w:type="dxa"/>
            <w:right w:w="108" w:type="dxa"/>
          </w:tblCellMar>
        </w:tblPrEx>
        <w:trPr>
          <w:trHeight w:val="630" w:hRule="atLeast"/>
        </w:trPr>
        <w:tc>
          <w:tcPr>
            <w:tcW w:w="3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年预算</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w:t>
            </w:r>
            <w:r>
              <w:rPr>
                <w:rFonts w:hint="eastAsia" w:ascii="宋体" w:hAnsi="宋体" w:eastAsia="宋体" w:cs="宋体"/>
                <w:color w:val="000000"/>
                <w:kern w:val="0"/>
                <w:sz w:val="22"/>
                <w:lang w:val="en-US" w:eastAsia="zh-CN"/>
              </w:rPr>
              <w:t>8</w:t>
            </w:r>
            <w:r>
              <w:rPr>
                <w:rFonts w:hint="eastAsia" w:ascii="宋体" w:hAnsi="宋体" w:eastAsia="宋体" w:cs="宋体"/>
                <w:color w:val="000000"/>
                <w:kern w:val="0"/>
                <w:sz w:val="22"/>
              </w:rPr>
              <w:t>年预算</w:t>
            </w:r>
          </w:p>
        </w:tc>
      </w:tr>
      <w:tr>
        <w:tblPrEx>
          <w:tblLayout w:type="fixed"/>
          <w:tblCellMar>
            <w:top w:w="15" w:type="dxa"/>
            <w:left w:w="108" w:type="dxa"/>
            <w:bottom w:w="15" w:type="dxa"/>
            <w:right w:w="108" w:type="dxa"/>
          </w:tblCellMar>
        </w:tblPrEx>
        <w:trPr>
          <w:trHeight w:val="630" w:hRule="atLeast"/>
        </w:trPr>
        <w:tc>
          <w:tcPr>
            <w:tcW w:w="3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一、财政拨款</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298.42</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一、基本支出</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298.42</w:t>
            </w:r>
          </w:p>
        </w:tc>
      </w:tr>
      <w:tr>
        <w:tblPrEx>
          <w:tblLayout w:type="fixed"/>
          <w:tblCellMar>
            <w:top w:w="15" w:type="dxa"/>
            <w:left w:w="108" w:type="dxa"/>
            <w:bottom w:w="15" w:type="dxa"/>
            <w:right w:w="108" w:type="dxa"/>
          </w:tblCellMar>
        </w:tblPrEx>
        <w:trPr>
          <w:trHeight w:val="630" w:hRule="atLeast"/>
        </w:trPr>
        <w:tc>
          <w:tcPr>
            <w:tcW w:w="3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二、财政专户拨款</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二、项目支出</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630" w:hRule="atLeast"/>
        </w:trPr>
        <w:tc>
          <w:tcPr>
            <w:tcW w:w="3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三、其他资金</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三、事业单位经营支出</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630" w:hRule="atLeast"/>
        </w:trPr>
        <w:tc>
          <w:tcPr>
            <w:tcW w:w="3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630" w:hRule="atLeast"/>
        </w:trPr>
        <w:tc>
          <w:tcPr>
            <w:tcW w:w="3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本年收入支出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298.42</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本年支出支出</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298.42</w:t>
            </w:r>
          </w:p>
        </w:tc>
      </w:tr>
      <w:tr>
        <w:tblPrEx>
          <w:tblLayout w:type="fixed"/>
          <w:tblCellMar>
            <w:top w:w="15" w:type="dxa"/>
            <w:left w:w="108" w:type="dxa"/>
            <w:bottom w:w="15" w:type="dxa"/>
            <w:right w:w="108" w:type="dxa"/>
          </w:tblCellMar>
        </w:tblPrEx>
        <w:trPr>
          <w:trHeight w:val="630" w:hRule="atLeast"/>
        </w:trPr>
        <w:tc>
          <w:tcPr>
            <w:tcW w:w="3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630" w:hRule="atLeast"/>
        </w:trPr>
        <w:tc>
          <w:tcPr>
            <w:tcW w:w="3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四、上级补助收入</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四、对附属单位补助支出</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630" w:hRule="atLeast"/>
        </w:trPr>
        <w:tc>
          <w:tcPr>
            <w:tcW w:w="3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五、附属单位上缴收入</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五、上缴上级支出</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630" w:hRule="atLeast"/>
        </w:trPr>
        <w:tc>
          <w:tcPr>
            <w:tcW w:w="3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六、用事业基金弥补收支总额</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六、结转下年</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630" w:hRule="atLeast"/>
        </w:trPr>
        <w:tc>
          <w:tcPr>
            <w:tcW w:w="3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630" w:hRule="atLeast"/>
        </w:trPr>
        <w:tc>
          <w:tcPr>
            <w:tcW w:w="3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收入总计</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298.42</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支出总计</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298.42</w:t>
            </w:r>
          </w:p>
        </w:tc>
      </w:tr>
      <w:tr>
        <w:tblPrEx>
          <w:tblLayout w:type="fixed"/>
          <w:tblCellMar>
            <w:top w:w="15" w:type="dxa"/>
            <w:left w:w="108" w:type="dxa"/>
            <w:bottom w:w="15" w:type="dxa"/>
            <w:right w:w="108" w:type="dxa"/>
          </w:tblCellMar>
        </w:tblPrEx>
        <w:trPr>
          <w:trHeight w:val="285" w:hRule="atLeast"/>
        </w:trPr>
        <w:tc>
          <w:tcPr>
            <w:tcW w:w="3134" w:type="dxa"/>
            <w:vAlign w:val="bottom"/>
          </w:tcPr>
          <w:p>
            <w:pPr>
              <w:widowControl/>
              <w:jc w:val="left"/>
              <w:rPr>
                <w:rFonts w:ascii="宋体" w:hAnsi="宋体" w:eastAsia="宋体" w:cs="宋体"/>
                <w:color w:val="000000"/>
                <w:kern w:val="0"/>
                <w:sz w:val="22"/>
              </w:rPr>
            </w:pPr>
          </w:p>
        </w:tc>
        <w:tc>
          <w:tcPr>
            <w:tcW w:w="1134" w:type="dxa"/>
            <w:vAlign w:val="bottom"/>
          </w:tcPr>
          <w:p>
            <w:pPr>
              <w:widowControl/>
              <w:jc w:val="left"/>
              <w:rPr>
                <w:rFonts w:ascii="宋体" w:hAnsi="宋体" w:eastAsia="宋体" w:cs="宋体"/>
                <w:color w:val="000000"/>
                <w:kern w:val="0"/>
                <w:sz w:val="22"/>
              </w:rPr>
            </w:pPr>
          </w:p>
        </w:tc>
        <w:tc>
          <w:tcPr>
            <w:tcW w:w="2693" w:type="dxa"/>
            <w:vAlign w:val="bottom"/>
          </w:tcPr>
          <w:p>
            <w:pPr>
              <w:widowControl/>
              <w:jc w:val="left"/>
              <w:rPr>
                <w:rFonts w:ascii="宋体" w:hAnsi="宋体" w:eastAsia="宋体" w:cs="宋体"/>
                <w:color w:val="000000"/>
                <w:kern w:val="0"/>
                <w:sz w:val="22"/>
              </w:rPr>
            </w:pPr>
          </w:p>
        </w:tc>
        <w:tc>
          <w:tcPr>
            <w:tcW w:w="1418" w:type="dxa"/>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41" w:hRule="atLeast"/>
        </w:trPr>
        <w:tc>
          <w:tcPr>
            <w:tcW w:w="8379" w:type="dxa"/>
            <w:gridSpan w:val="4"/>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注：财政拨款收支情况包括一般公共预算、政府性基金预算、国有资本经营预算拨款收支情况</w:t>
            </w:r>
          </w:p>
        </w:tc>
      </w:tr>
    </w:tbl>
    <w:p>
      <w:pPr>
        <w:rPr>
          <w:rFonts w:asciiTheme="minorEastAsia" w:hAnsiTheme="minorEastAsia"/>
          <w:szCs w:val="21"/>
        </w:rPr>
      </w:pPr>
    </w:p>
    <w:p>
      <w:pPr>
        <w:widowControl/>
        <w:jc w:val="left"/>
        <w:rPr>
          <w:rFonts w:asciiTheme="minorEastAsia" w:hAnsiTheme="minorEastAsia"/>
          <w:szCs w:val="21"/>
        </w:rPr>
      </w:pPr>
      <w:r>
        <w:rPr>
          <w:rFonts w:asciiTheme="minorEastAsia" w:hAnsiTheme="minorEastAsia"/>
          <w:szCs w:val="21"/>
        </w:rPr>
        <w:br w:type="page"/>
      </w:r>
    </w:p>
    <w:tbl>
      <w:tblPr>
        <w:tblStyle w:val="4"/>
        <w:tblW w:w="8322" w:type="dxa"/>
        <w:tblInd w:w="93" w:type="dxa"/>
        <w:tblLayout w:type="fixed"/>
        <w:tblCellMar>
          <w:top w:w="15" w:type="dxa"/>
          <w:left w:w="108" w:type="dxa"/>
          <w:bottom w:w="15" w:type="dxa"/>
          <w:right w:w="108" w:type="dxa"/>
        </w:tblCellMar>
      </w:tblPr>
      <w:tblGrid>
        <w:gridCol w:w="4143"/>
        <w:gridCol w:w="4179"/>
      </w:tblGrid>
      <w:tr>
        <w:tblPrEx>
          <w:tblLayout w:type="fixed"/>
          <w:tblCellMar>
            <w:top w:w="15" w:type="dxa"/>
            <w:left w:w="108" w:type="dxa"/>
            <w:bottom w:w="15" w:type="dxa"/>
            <w:right w:w="108" w:type="dxa"/>
          </w:tblCellMar>
        </w:tblPrEx>
        <w:trPr>
          <w:trHeight w:val="262" w:hRule="atLeast"/>
        </w:trPr>
        <w:tc>
          <w:tcPr>
            <w:tcW w:w="8322" w:type="dxa"/>
            <w:gridSpan w:val="2"/>
            <w:vAlign w:val="bottom"/>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表2</w:t>
            </w:r>
          </w:p>
        </w:tc>
      </w:tr>
      <w:tr>
        <w:tblPrEx>
          <w:tblLayout w:type="fixed"/>
          <w:tblCellMar>
            <w:top w:w="15" w:type="dxa"/>
            <w:left w:w="108" w:type="dxa"/>
            <w:bottom w:w="15" w:type="dxa"/>
            <w:right w:w="108" w:type="dxa"/>
          </w:tblCellMar>
        </w:tblPrEx>
        <w:trPr>
          <w:trHeight w:val="578" w:hRule="atLeast"/>
        </w:trPr>
        <w:tc>
          <w:tcPr>
            <w:tcW w:w="8322" w:type="dxa"/>
            <w:gridSpan w:val="2"/>
            <w:vAlign w:val="center"/>
          </w:tcPr>
          <w:p>
            <w:pPr>
              <w:widowControl/>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收入总体情况表</w:t>
            </w:r>
          </w:p>
        </w:tc>
      </w:tr>
      <w:tr>
        <w:tblPrEx>
          <w:tblLayout w:type="fixed"/>
          <w:tblCellMar>
            <w:top w:w="15" w:type="dxa"/>
            <w:left w:w="108" w:type="dxa"/>
            <w:bottom w:w="15" w:type="dxa"/>
            <w:right w:w="108" w:type="dxa"/>
          </w:tblCellMar>
        </w:tblPrEx>
        <w:trPr>
          <w:trHeight w:val="482" w:hRule="atLeast"/>
        </w:trPr>
        <w:tc>
          <w:tcPr>
            <w:tcW w:w="4143" w:type="dxa"/>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单位名称：惠来县科学技术局</w:t>
            </w:r>
          </w:p>
        </w:tc>
        <w:tc>
          <w:tcPr>
            <w:tcW w:w="4179" w:type="dxa"/>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单位：万元</w:t>
            </w:r>
          </w:p>
        </w:tc>
      </w:tr>
      <w:tr>
        <w:tblPrEx>
          <w:tblLayout w:type="fixed"/>
          <w:tblCellMar>
            <w:top w:w="15" w:type="dxa"/>
            <w:left w:w="108" w:type="dxa"/>
            <w:bottom w:w="15" w:type="dxa"/>
            <w:right w:w="108" w:type="dxa"/>
          </w:tblCellMar>
        </w:tblPrEx>
        <w:trPr>
          <w:trHeight w:val="578" w:hRule="atLeast"/>
        </w:trPr>
        <w:tc>
          <w:tcPr>
            <w:tcW w:w="4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    目</w:t>
            </w:r>
          </w:p>
        </w:tc>
        <w:tc>
          <w:tcPr>
            <w:tcW w:w="41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w:t>
            </w:r>
            <w:r>
              <w:rPr>
                <w:rFonts w:hint="eastAsia" w:ascii="宋体" w:hAnsi="宋体" w:eastAsia="宋体" w:cs="宋体"/>
                <w:color w:val="000000"/>
                <w:kern w:val="0"/>
                <w:sz w:val="22"/>
                <w:lang w:val="en-US" w:eastAsia="zh-CN"/>
              </w:rPr>
              <w:t>8</w:t>
            </w:r>
            <w:r>
              <w:rPr>
                <w:rFonts w:hint="eastAsia" w:ascii="宋体" w:hAnsi="宋体" w:eastAsia="宋体" w:cs="宋体"/>
                <w:color w:val="000000"/>
                <w:kern w:val="0"/>
                <w:sz w:val="22"/>
              </w:rPr>
              <w:t>年预算</w:t>
            </w:r>
          </w:p>
        </w:tc>
      </w:tr>
      <w:tr>
        <w:tblPrEx>
          <w:tblLayout w:type="fixed"/>
          <w:tblCellMar>
            <w:top w:w="15" w:type="dxa"/>
            <w:left w:w="108" w:type="dxa"/>
            <w:bottom w:w="15" w:type="dxa"/>
            <w:right w:w="108" w:type="dxa"/>
          </w:tblCellMar>
        </w:tblPrEx>
        <w:trPr>
          <w:trHeight w:val="578" w:hRule="atLeast"/>
        </w:trPr>
        <w:tc>
          <w:tcPr>
            <w:tcW w:w="414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一、预算拨款</w:t>
            </w:r>
          </w:p>
        </w:tc>
        <w:tc>
          <w:tcPr>
            <w:tcW w:w="41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298.42</w:t>
            </w:r>
          </w:p>
        </w:tc>
      </w:tr>
      <w:tr>
        <w:tblPrEx>
          <w:tblLayout w:type="fixed"/>
          <w:tblCellMar>
            <w:top w:w="15" w:type="dxa"/>
            <w:left w:w="108" w:type="dxa"/>
            <w:bottom w:w="15" w:type="dxa"/>
            <w:right w:w="108" w:type="dxa"/>
          </w:tblCellMar>
        </w:tblPrEx>
        <w:trPr>
          <w:trHeight w:val="578" w:hRule="atLeast"/>
        </w:trPr>
        <w:tc>
          <w:tcPr>
            <w:tcW w:w="414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一般公共预算拨款</w:t>
            </w:r>
          </w:p>
        </w:tc>
        <w:tc>
          <w:tcPr>
            <w:tcW w:w="41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298.42</w:t>
            </w:r>
          </w:p>
        </w:tc>
      </w:tr>
      <w:tr>
        <w:tblPrEx>
          <w:tblLayout w:type="fixed"/>
          <w:tblCellMar>
            <w:top w:w="15" w:type="dxa"/>
            <w:left w:w="108" w:type="dxa"/>
            <w:bottom w:w="15" w:type="dxa"/>
            <w:right w:w="108" w:type="dxa"/>
          </w:tblCellMar>
        </w:tblPrEx>
        <w:trPr>
          <w:trHeight w:val="578" w:hRule="atLeast"/>
        </w:trPr>
        <w:tc>
          <w:tcPr>
            <w:tcW w:w="414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基金预算拨款</w:t>
            </w:r>
          </w:p>
        </w:tc>
        <w:tc>
          <w:tcPr>
            <w:tcW w:w="417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578" w:hRule="atLeast"/>
        </w:trPr>
        <w:tc>
          <w:tcPr>
            <w:tcW w:w="414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二、财政专户拨款</w:t>
            </w:r>
          </w:p>
        </w:tc>
        <w:tc>
          <w:tcPr>
            <w:tcW w:w="417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578" w:hRule="atLeast"/>
        </w:trPr>
        <w:tc>
          <w:tcPr>
            <w:tcW w:w="414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教育收费</w:t>
            </w:r>
          </w:p>
        </w:tc>
        <w:tc>
          <w:tcPr>
            <w:tcW w:w="417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578" w:hRule="atLeast"/>
        </w:trPr>
        <w:tc>
          <w:tcPr>
            <w:tcW w:w="414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其他财政收入拨款</w:t>
            </w:r>
          </w:p>
        </w:tc>
        <w:tc>
          <w:tcPr>
            <w:tcW w:w="417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578" w:hRule="atLeast"/>
        </w:trPr>
        <w:tc>
          <w:tcPr>
            <w:tcW w:w="414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三、其他资金</w:t>
            </w:r>
          </w:p>
        </w:tc>
        <w:tc>
          <w:tcPr>
            <w:tcW w:w="417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578" w:hRule="atLeast"/>
        </w:trPr>
        <w:tc>
          <w:tcPr>
            <w:tcW w:w="414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事业收入</w:t>
            </w:r>
          </w:p>
        </w:tc>
        <w:tc>
          <w:tcPr>
            <w:tcW w:w="417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578" w:hRule="atLeast"/>
        </w:trPr>
        <w:tc>
          <w:tcPr>
            <w:tcW w:w="414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事业单位经营收入</w:t>
            </w:r>
          </w:p>
        </w:tc>
        <w:tc>
          <w:tcPr>
            <w:tcW w:w="417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578" w:hRule="atLeast"/>
        </w:trPr>
        <w:tc>
          <w:tcPr>
            <w:tcW w:w="414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其他收入</w:t>
            </w:r>
          </w:p>
        </w:tc>
        <w:tc>
          <w:tcPr>
            <w:tcW w:w="417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578" w:hRule="atLeast"/>
        </w:trPr>
        <w:tc>
          <w:tcPr>
            <w:tcW w:w="414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417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578" w:hRule="atLeast"/>
        </w:trPr>
        <w:tc>
          <w:tcPr>
            <w:tcW w:w="4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 年 收 入 合 计</w:t>
            </w:r>
          </w:p>
        </w:tc>
        <w:tc>
          <w:tcPr>
            <w:tcW w:w="41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298.42</w:t>
            </w:r>
          </w:p>
        </w:tc>
      </w:tr>
      <w:tr>
        <w:tblPrEx>
          <w:tblLayout w:type="fixed"/>
          <w:tblCellMar>
            <w:top w:w="15" w:type="dxa"/>
            <w:left w:w="108" w:type="dxa"/>
            <w:bottom w:w="15" w:type="dxa"/>
            <w:right w:w="108" w:type="dxa"/>
          </w:tblCellMar>
        </w:tblPrEx>
        <w:trPr>
          <w:trHeight w:val="578" w:hRule="atLeast"/>
        </w:trPr>
        <w:tc>
          <w:tcPr>
            <w:tcW w:w="414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417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578" w:hRule="atLeast"/>
        </w:trPr>
        <w:tc>
          <w:tcPr>
            <w:tcW w:w="414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四、上级补助收入</w:t>
            </w:r>
          </w:p>
        </w:tc>
        <w:tc>
          <w:tcPr>
            <w:tcW w:w="417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578" w:hRule="atLeast"/>
        </w:trPr>
        <w:tc>
          <w:tcPr>
            <w:tcW w:w="414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五、附属单位上缴收入</w:t>
            </w:r>
          </w:p>
        </w:tc>
        <w:tc>
          <w:tcPr>
            <w:tcW w:w="417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578" w:hRule="atLeast"/>
        </w:trPr>
        <w:tc>
          <w:tcPr>
            <w:tcW w:w="414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六、用事业基金弥补收支总额</w:t>
            </w:r>
          </w:p>
        </w:tc>
        <w:tc>
          <w:tcPr>
            <w:tcW w:w="417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578" w:hRule="atLeast"/>
        </w:trPr>
        <w:tc>
          <w:tcPr>
            <w:tcW w:w="414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417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578" w:hRule="atLeast"/>
        </w:trPr>
        <w:tc>
          <w:tcPr>
            <w:tcW w:w="4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收 入 总 计</w:t>
            </w:r>
          </w:p>
        </w:tc>
        <w:tc>
          <w:tcPr>
            <w:tcW w:w="41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298.42</w:t>
            </w:r>
          </w:p>
        </w:tc>
      </w:tr>
    </w:tbl>
    <w:p>
      <w:pPr>
        <w:rPr>
          <w:rFonts w:asciiTheme="minorEastAsia" w:hAnsiTheme="minorEastAsia"/>
          <w:szCs w:val="21"/>
        </w:rPr>
      </w:pPr>
    </w:p>
    <w:p>
      <w:pPr>
        <w:widowControl/>
        <w:jc w:val="left"/>
        <w:rPr>
          <w:rFonts w:asciiTheme="minorEastAsia" w:hAnsiTheme="minorEastAsia"/>
          <w:szCs w:val="21"/>
        </w:rPr>
      </w:pPr>
      <w:r>
        <w:rPr>
          <w:rFonts w:asciiTheme="minorEastAsia" w:hAnsiTheme="minorEastAsia"/>
          <w:szCs w:val="21"/>
        </w:rPr>
        <w:br w:type="page"/>
      </w:r>
    </w:p>
    <w:tbl>
      <w:tblPr>
        <w:tblStyle w:val="4"/>
        <w:tblW w:w="8610" w:type="dxa"/>
        <w:tblInd w:w="93" w:type="dxa"/>
        <w:tblLayout w:type="fixed"/>
        <w:tblCellMar>
          <w:top w:w="15" w:type="dxa"/>
          <w:left w:w="108" w:type="dxa"/>
          <w:bottom w:w="15" w:type="dxa"/>
          <w:right w:w="108" w:type="dxa"/>
        </w:tblCellMar>
      </w:tblPr>
      <w:tblGrid>
        <w:gridCol w:w="4304"/>
        <w:gridCol w:w="4306"/>
      </w:tblGrid>
      <w:tr>
        <w:tblPrEx>
          <w:tblLayout w:type="fixed"/>
          <w:tblCellMar>
            <w:top w:w="15" w:type="dxa"/>
            <w:left w:w="108" w:type="dxa"/>
            <w:bottom w:w="15" w:type="dxa"/>
            <w:right w:w="108" w:type="dxa"/>
          </w:tblCellMar>
        </w:tblPrEx>
        <w:trPr>
          <w:trHeight w:val="353" w:hRule="atLeast"/>
        </w:trPr>
        <w:tc>
          <w:tcPr>
            <w:tcW w:w="8610" w:type="dxa"/>
            <w:gridSpan w:val="2"/>
            <w:vAlign w:val="bottom"/>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表3</w:t>
            </w:r>
          </w:p>
        </w:tc>
      </w:tr>
      <w:tr>
        <w:tblPrEx>
          <w:tblLayout w:type="fixed"/>
          <w:tblCellMar>
            <w:top w:w="15" w:type="dxa"/>
            <w:left w:w="108" w:type="dxa"/>
            <w:bottom w:w="15" w:type="dxa"/>
            <w:right w:w="108" w:type="dxa"/>
          </w:tblCellMar>
        </w:tblPrEx>
        <w:trPr>
          <w:trHeight w:val="587" w:hRule="atLeast"/>
        </w:trPr>
        <w:tc>
          <w:tcPr>
            <w:tcW w:w="8610" w:type="dxa"/>
            <w:gridSpan w:val="2"/>
            <w:vAlign w:val="center"/>
          </w:tcPr>
          <w:p>
            <w:pPr>
              <w:widowControl/>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支出总体情况表</w:t>
            </w:r>
          </w:p>
        </w:tc>
      </w:tr>
      <w:tr>
        <w:tblPrEx>
          <w:tblLayout w:type="fixed"/>
          <w:tblCellMar>
            <w:top w:w="15" w:type="dxa"/>
            <w:left w:w="108" w:type="dxa"/>
            <w:bottom w:w="15" w:type="dxa"/>
            <w:right w:w="108" w:type="dxa"/>
          </w:tblCellMar>
        </w:tblPrEx>
        <w:trPr>
          <w:trHeight w:val="369" w:hRule="atLeast"/>
        </w:trPr>
        <w:tc>
          <w:tcPr>
            <w:tcW w:w="4304" w:type="dxa"/>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单位名称：惠来县科学技术局</w:t>
            </w:r>
          </w:p>
        </w:tc>
        <w:tc>
          <w:tcPr>
            <w:tcW w:w="4306" w:type="dxa"/>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单位：万元</w:t>
            </w: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    目</w:t>
            </w: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w:t>
            </w:r>
            <w:r>
              <w:rPr>
                <w:rFonts w:hint="eastAsia" w:ascii="宋体" w:hAnsi="宋体" w:eastAsia="宋体" w:cs="宋体"/>
                <w:color w:val="000000"/>
                <w:kern w:val="0"/>
                <w:sz w:val="22"/>
                <w:lang w:val="en-US" w:eastAsia="zh-CN"/>
              </w:rPr>
              <w:t>8</w:t>
            </w:r>
            <w:r>
              <w:rPr>
                <w:rFonts w:hint="eastAsia" w:ascii="宋体" w:hAnsi="宋体" w:eastAsia="宋体" w:cs="宋体"/>
                <w:color w:val="000000"/>
                <w:kern w:val="0"/>
                <w:sz w:val="22"/>
              </w:rPr>
              <w:t>年预算</w:t>
            </w: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一、基本支出</w:t>
            </w: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lang w:val="en-US" w:eastAsia="zh-CN"/>
              </w:rPr>
              <w:t>298.42</w:t>
            </w: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工资福利支出</w:t>
            </w: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lang w:val="en-US" w:eastAsia="zh-CN"/>
              </w:rPr>
              <w:t>240.31</w:t>
            </w: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一般商品和服务支出</w:t>
            </w: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lang w:val="en-US" w:eastAsia="zh-CN"/>
              </w:rPr>
              <w:t>58.11</w:t>
            </w: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对个人和家庭的补助</w:t>
            </w: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FF"/>
                <w:kern w:val="0"/>
                <w:sz w:val="22"/>
                <w:lang w:eastAsia="zh-CN"/>
              </w:rPr>
            </w:pP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其他资本性支出等</w:t>
            </w: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二、项目支出</w:t>
            </w: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日常运转类项目</w:t>
            </w: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政府购买服务类项目</w:t>
            </w: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其他类项目</w:t>
            </w: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科技研发类项目</w:t>
            </w: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基本建设类项目</w:t>
            </w: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补助企事业类项目</w:t>
            </w: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信息化运维类项目</w:t>
            </w: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专项业务类项目</w:t>
            </w: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因公出国（境）项目</w:t>
            </w: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信息系统建设类项目</w:t>
            </w: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三、事业单位经营支出</w:t>
            </w: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 年 支 出 合 计</w:t>
            </w: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298.42</w:t>
            </w: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四、对附属单位补助支出</w:t>
            </w: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五、上缴上级支出</w:t>
            </w: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六、结转下年</w:t>
            </w: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支  出  总  计</w:t>
            </w: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298.42</w:t>
            </w:r>
          </w:p>
        </w:tc>
      </w:tr>
    </w:tbl>
    <w:p>
      <w:pPr>
        <w:rPr>
          <w:rFonts w:hint="eastAsia" w:asciiTheme="minorEastAsia" w:hAnsiTheme="minorEastAsia"/>
          <w:szCs w:val="21"/>
        </w:rPr>
      </w:pPr>
    </w:p>
    <w:p>
      <w:pPr>
        <w:widowControl/>
        <w:jc w:val="left"/>
        <w:rPr>
          <w:rFonts w:asciiTheme="minorEastAsia" w:hAnsiTheme="minorEastAsia"/>
          <w:szCs w:val="21"/>
        </w:rPr>
      </w:pPr>
      <w:r>
        <w:rPr>
          <w:rFonts w:asciiTheme="minorEastAsia" w:hAnsiTheme="minorEastAsia"/>
          <w:szCs w:val="21"/>
        </w:rPr>
        <w:br w:type="page"/>
      </w:r>
    </w:p>
    <w:tbl>
      <w:tblPr>
        <w:tblStyle w:val="4"/>
        <w:tblW w:w="8379" w:type="dxa"/>
        <w:tblInd w:w="93" w:type="dxa"/>
        <w:tblLayout w:type="fixed"/>
        <w:tblCellMar>
          <w:top w:w="15" w:type="dxa"/>
          <w:left w:w="108" w:type="dxa"/>
          <w:bottom w:w="15" w:type="dxa"/>
          <w:right w:w="108" w:type="dxa"/>
        </w:tblCellMar>
      </w:tblPr>
      <w:tblGrid>
        <w:gridCol w:w="2542"/>
        <w:gridCol w:w="1301"/>
        <w:gridCol w:w="2409"/>
        <w:gridCol w:w="2127"/>
      </w:tblGrid>
      <w:tr>
        <w:tblPrEx>
          <w:tblLayout w:type="fixed"/>
          <w:tblCellMar>
            <w:top w:w="15" w:type="dxa"/>
            <w:left w:w="108" w:type="dxa"/>
            <w:bottom w:w="15" w:type="dxa"/>
            <w:right w:w="108" w:type="dxa"/>
          </w:tblCellMar>
        </w:tblPrEx>
        <w:trPr>
          <w:trHeight w:val="286" w:hRule="atLeast"/>
        </w:trPr>
        <w:tc>
          <w:tcPr>
            <w:tcW w:w="8379" w:type="dxa"/>
            <w:gridSpan w:val="4"/>
            <w:vAlign w:val="bottom"/>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表4</w:t>
            </w:r>
          </w:p>
        </w:tc>
      </w:tr>
      <w:tr>
        <w:tblPrEx>
          <w:tblLayout w:type="fixed"/>
          <w:tblCellMar>
            <w:top w:w="15" w:type="dxa"/>
            <w:left w:w="108" w:type="dxa"/>
            <w:bottom w:w="15" w:type="dxa"/>
            <w:right w:w="108" w:type="dxa"/>
          </w:tblCellMar>
        </w:tblPrEx>
        <w:trPr>
          <w:trHeight w:val="630" w:hRule="atLeast"/>
        </w:trPr>
        <w:tc>
          <w:tcPr>
            <w:tcW w:w="8379" w:type="dxa"/>
            <w:gridSpan w:val="4"/>
            <w:vAlign w:val="center"/>
          </w:tcPr>
          <w:p>
            <w:pPr>
              <w:widowControl/>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财政拨款收支总体情况表</w:t>
            </w:r>
          </w:p>
        </w:tc>
      </w:tr>
      <w:tr>
        <w:tblPrEx>
          <w:tblLayout w:type="fixed"/>
          <w:tblCellMar>
            <w:top w:w="15" w:type="dxa"/>
            <w:left w:w="108" w:type="dxa"/>
            <w:bottom w:w="15" w:type="dxa"/>
            <w:right w:w="108" w:type="dxa"/>
          </w:tblCellMar>
        </w:tblPrEx>
        <w:trPr>
          <w:trHeight w:val="525" w:hRule="atLeast"/>
        </w:trPr>
        <w:tc>
          <w:tcPr>
            <w:tcW w:w="3843" w:type="dxa"/>
            <w:gridSpan w:val="2"/>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单位名称：惠来县科学技术局</w:t>
            </w:r>
          </w:p>
        </w:tc>
        <w:tc>
          <w:tcPr>
            <w:tcW w:w="4536" w:type="dxa"/>
            <w:gridSpan w:val="2"/>
            <w:tcBorders>
              <w:bottom w:val="single" w:color="000000" w:sz="4" w:space="0"/>
            </w:tcBorders>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单位：万元</w:t>
            </w:r>
          </w:p>
        </w:tc>
      </w:tr>
      <w:tr>
        <w:tblPrEx>
          <w:tblLayout w:type="fixed"/>
          <w:tblCellMar>
            <w:top w:w="15" w:type="dxa"/>
            <w:left w:w="108" w:type="dxa"/>
            <w:bottom w:w="15" w:type="dxa"/>
            <w:right w:w="108" w:type="dxa"/>
          </w:tblCellMar>
        </w:tblPrEx>
        <w:trPr>
          <w:trHeight w:val="630" w:hRule="atLeast"/>
        </w:trPr>
        <w:tc>
          <w:tcPr>
            <w:tcW w:w="384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收入</w:t>
            </w:r>
          </w:p>
        </w:tc>
        <w:tc>
          <w:tcPr>
            <w:tcW w:w="453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支出</w:t>
            </w:r>
          </w:p>
        </w:tc>
      </w:tr>
      <w:tr>
        <w:tblPrEx>
          <w:tblLayout w:type="fixed"/>
          <w:tblCellMar>
            <w:top w:w="15" w:type="dxa"/>
            <w:left w:w="108" w:type="dxa"/>
            <w:bottom w:w="15" w:type="dxa"/>
            <w:right w:w="108" w:type="dxa"/>
          </w:tblCellMar>
        </w:tblPrEx>
        <w:trPr>
          <w:trHeight w:val="630" w:hRule="atLeast"/>
        </w:trPr>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13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年预算</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21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w:t>
            </w:r>
            <w:r>
              <w:rPr>
                <w:rFonts w:hint="eastAsia" w:ascii="宋体" w:hAnsi="宋体" w:eastAsia="宋体" w:cs="宋体"/>
                <w:color w:val="000000"/>
                <w:kern w:val="0"/>
                <w:sz w:val="22"/>
                <w:lang w:val="en-US" w:eastAsia="zh-CN"/>
              </w:rPr>
              <w:t>8</w:t>
            </w:r>
            <w:r>
              <w:rPr>
                <w:rFonts w:hint="eastAsia" w:ascii="宋体" w:hAnsi="宋体" w:eastAsia="宋体" w:cs="宋体"/>
                <w:color w:val="000000"/>
                <w:kern w:val="0"/>
                <w:sz w:val="22"/>
              </w:rPr>
              <w:t>年预算</w:t>
            </w:r>
          </w:p>
        </w:tc>
      </w:tr>
      <w:tr>
        <w:tblPrEx>
          <w:tblLayout w:type="fixed"/>
          <w:tblCellMar>
            <w:top w:w="15" w:type="dxa"/>
            <w:left w:w="108" w:type="dxa"/>
            <w:bottom w:w="15" w:type="dxa"/>
            <w:right w:w="108" w:type="dxa"/>
          </w:tblCellMar>
        </w:tblPrEx>
        <w:trPr>
          <w:trHeight w:val="630" w:hRule="atLeast"/>
        </w:trPr>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一、一般公共预算</w:t>
            </w:r>
          </w:p>
        </w:tc>
        <w:tc>
          <w:tcPr>
            <w:tcW w:w="13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auto"/>
                <w:kern w:val="0"/>
                <w:sz w:val="22"/>
                <w:lang w:val="en-US" w:eastAsia="zh-CN"/>
              </w:rPr>
              <w:t>298.42</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一、一般公共预算</w:t>
            </w:r>
          </w:p>
        </w:tc>
        <w:tc>
          <w:tcPr>
            <w:tcW w:w="21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auto"/>
                <w:kern w:val="0"/>
                <w:sz w:val="22"/>
                <w:lang w:val="en-US" w:eastAsia="zh-CN"/>
              </w:rPr>
              <w:t>298.42</w:t>
            </w:r>
          </w:p>
        </w:tc>
      </w:tr>
      <w:tr>
        <w:tblPrEx>
          <w:tblLayout w:type="fixed"/>
          <w:tblCellMar>
            <w:top w:w="15" w:type="dxa"/>
            <w:left w:w="108" w:type="dxa"/>
            <w:bottom w:w="15" w:type="dxa"/>
            <w:right w:w="108" w:type="dxa"/>
          </w:tblCellMar>
        </w:tblPrEx>
        <w:trPr>
          <w:trHeight w:val="630" w:hRule="atLeast"/>
        </w:trPr>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二、政府性基金预算</w:t>
            </w:r>
          </w:p>
        </w:tc>
        <w:tc>
          <w:tcPr>
            <w:tcW w:w="13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二、政府性基金预算</w:t>
            </w:r>
          </w:p>
        </w:tc>
        <w:tc>
          <w:tcPr>
            <w:tcW w:w="21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630" w:hRule="atLeast"/>
        </w:trPr>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三、国有资本经营预算</w:t>
            </w:r>
          </w:p>
        </w:tc>
        <w:tc>
          <w:tcPr>
            <w:tcW w:w="13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三、国有资本经营预算</w:t>
            </w:r>
          </w:p>
        </w:tc>
        <w:tc>
          <w:tcPr>
            <w:tcW w:w="21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630" w:hRule="atLeast"/>
        </w:trPr>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13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21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630" w:hRule="atLeast"/>
        </w:trPr>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本年收入总计</w:t>
            </w:r>
          </w:p>
        </w:tc>
        <w:tc>
          <w:tcPr>
            <w:tcW w:w="13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auto"/>
                <w:kern w:val="0"/>
                <w:sz w:val="22"/>
                <w:lang w:val="en-US" w:eastAsia="zh-CN"/>
              </w:rPr>
              <w:t>298.42</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本年支出总计</w:t>
            </w:r>
          </w:p>
        </w:tc>
        <w:tc>
          <w:tcPr>
            <w:tcW w:w="21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auto"/>
                <w:kern w:val="0"/>
                <w:sz w:val="22"/>
                <w:lang w:val="en-US" w:eastAsia="zh-CN"/>
              </w:rPr>
              <w:t>298.42</w:t>
            </w:r>
          </w:p>
        </w:tc>
      </w:tr>
    </w:tbl>
    <w:p>
      <w:pPr>
        <w:rPr>
          <w:rFonts w:hint="eastAsia" w:asciiTheme="minorEastAsia" w:hAnsiTheme="minorEastAsia"/>
          <w:szCs w:val="21"/>
        </w:rPr>
      </w:pPr>
    </w:p>
    <w:p>
      <w:pPr>
        <w:widowControl/>
        <w:jc w:val="left"/>
        <w:rPr>
          <w:rFonts w:asciiTheme="minorEastAsia" w:hAnsiTheme="minorEastAsia"/>
          <w:szCs w:val="21"/>
        </w:rPr>
      </w:pPr>
      <w:r>
        <w:rPr>
          <w:rFonts w:asciiTheme="minorEastAsia" w:hAnsiTheme="minorEastAsia"/>
          <w:szCs w:val="21"/>
        </w:rPr>
        <w:br w:type="page"/>
      </w:r>
    </w:p>
    <w:p>
      <w:pPr>
        <w:rPr>
          <w:rFonts w:hint="eastAsia" w:asciiTheme="minorEastAsia" w:hAnsiTheme="minorEastAsia"/>
          <w:szCs w:val="21"/>
        </w:rPr>
      </w:pPr>
    </w:p>
    <w:tbl>
      <w:tblPr>
        <w:tblStyle w:val="4"/>
        <w:tblW w:w="8727" w:type="dxa"/>
        <w:tblInd w:w="93" w:type="dxa"/>
        <w:tblLayout w:type="fixed"/>
        <w:tblCellMar>
          <w:top w:w="15" w:type="dxa"/>
          <w:left w:w="108" w:type="dxa"/>
          <w:bottom w:w="15" w:type="dxa"/>
          <w:right w:w="108" w:type="dxa"/>
        </w:tblCellMar>
      </w:tblPr>
      <w:tblGrid>
        <w:gridCol w:w="3299"/>
        <w:gridCol w:w="956"/>
        <w:gridCol w:w="438"/>
        <w:gridCol w:w="895"/>
        <w:gridCol w:w="948"/>
        <w:gridCol w:w="2191"/>
      </w:tblGrid>
      <w:tr>
        <w:tblPrEx>
          <w:tblLayout w:type="fixed"/>
          <w:tblCellMar>
            <w:top w:w="15" w:type="dxa"/>
            <w:left w:w="108" w:type="dxa"/>
            <w:bottom w:w="15" w:type="dxa"/>
            <w:right w:w="108" w:type="dxa"/>
          </w:tblCellMar>
        </w:tblPrEx>
        <w:trPr>
          <w:trHeight w:val="483" w:hRule="atLeast"/>
        </w:trPr>
        <w:tc>
          <w:tcPr>
            <w:tcW w:w="8727" w:type="dxa"/>
            <w:gridSpan w:val="6"/>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表5</w:t>
            </w:r>
          </w:p>
        </w:tc>
      </w:tr>
      <w:tr>
        <w:tblPrEx>
          <w:tblLayout w:type="fixed"/>
          <w:tblCellMar>
            <w:top w:w="15" w:type="dxa"/>
            <w:left w:w="108" w:type="dxa"/>
            <w:bottom w:w="15" w:type="dxa"/>
            <w:right w:w="108" w:type="dxa"/>
          </w:tblCellMar>
        </w:tblPrEx>
        <w:trPr>
          <w:trHeight w:val="423" w:hRule="atLeast"/>
        </w:trPr>
        <w:tc>
          <w:tcPr>
            <w:tcW w:w="8727" w:type="dxa"/>
            <w:gridSpan w:val="6"/>
            <w:vAlign w:val="center"/>
          </w:tcPr>
          <w:p>
            <w:pPr>
              <w:widowControl/>
              <w:jc w:val="center"/>
              <w:rPr>
                <w:rFonts w:ascii="宋体" w:hAnsi="宋体" w:eastAsia="宋体" w:cs="宋体"/>
                <w:color w:val="000000"/>
                <w:kern w:val="0"/>
                <w:sz w:val="40"/>
                <w:szCs w:val="40"/>
              </w:rPr>
            </w:pPr>
            <w:r>
              <w:rPr>
                <w:rFonts w:hint="eastAsia" w:ascii="宋体" w:hAnsi="宋体" w:eastAsia="宋体" w:cs="宋体"/>
                <w:color w:val="000000"/>
                <w:kern w:val="0"/>
                <w:sz w:val="40"/>
                <w:szCs w:val="40"/>
              </w:rPr>
              <w:t>一般公共预算支出情况表（按功能分类科目）</w:t>
            </w:r>
          </w:p>
        </w:tc>
      </w:tr>
      <w:tr>
        <w:tblPrEx>
          <w:tblLayout w:type="fixed"/>
          <w:tblCellMar>
            <w:top w:w="15" w:type="dxa"/>
            <w:left w:w="108" w:type="dxa"/>
            <w:bottom w:w="15" w:type="dxa"/>
            <w:right w:w="108" w:type="dxa"/>
          </w:tblCellMar>
        </w:tblPrEx>
        <w:trPr>
          <w:trHeight w:val="589" w:hRule="atLeast"/>
        </w:trPr>
        <w:tc>
          <w:tcPr>
            <w:tcW w:w="3299" w:type="dxa"/>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单位名称：惠来县科学技术局</w:t>
            </w:r>
          </w:p>
        </w:tc>
        <w:tc>
          <w:tcPr>
            <w:tcW w:w="956" w:type="dxa"/>
            <w:vAlign w:val="bottom"/>
          </w:tcPr>
          <w:p>
            <w:pPr>
              <w:widowControl/>
              <w:jc w:val="left"/>
              <w:rPr>
                <w:rFonts w:ascii="宋体" w:hAnsi="宋体" w:eastAsia="宋体" w:cs="宋体"/>
                <w:color w:val="000000"/>
                <w:kern w:val="0"/>
                <w:sz w:val="22"/>
              </w:rPr>
            </w:pPr>
          </w:p>
        </w:tc>
        <w:tc>
          <w:tcPr>
            <w:tcW w:w="1333" w:type="dxa"/>
            <w:gridSpan w:val="2"/>
            <w:vAlign w:val="bottom"/>
          </w:tcPr>
          <w:p>
            <w:pPr>
              <w:widowControl/>
              <w:jc w:val="left"/>
              <w:rPr>
                <w:rFonts w:ascii="宋体" w:hAnsi="宋体" w:eastAsia="宋体" w:cs="宋体"/>
                <w:color w:val="000000"/>
                <w:kern w:val="0"/>
                <w:sz w:val="22"/>
              </w:rPr>
            </w:pPr>
          </w:p>
        </w:tc>
        <w:tc>
          <w:tcPr>
            <w:tcW w:w="3139" w:type="dxa"/>
            <w:gridSpan w:val="2"/>
            <w:vAlign w:val="bottom"/>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单位：万元</w:t>
            </w:r>
          </w:p>
        </w:tc>
      </w:tr>
      <w:tr>
        <w:tblPrEx>
          <w:tblLayout w:type="fixed"/>
          <w:tblCellMar>
            <w:top w:w="15" w:type="dxa"/>
            <w:left w:w="108" w:type="dxa"/>
            <w:bottom w:w="15" w:type="dxa"/>
            <w:right w:w="108" w:type="dxa"/>
          </w:tblCellMar>
        </w:tblPrEx>
        <w:trPr>
          <w:trHeight w:val="589" w:hRule="atLeast"/>
        </w:trPr>
        <w:tc>
          <w:tcPr>
            <w:tcW w:w="329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功能科目名称</w:t>
            </w:r>
          </w:p>
        </w:tc>
        <w:tc>
          <w:tcPr>
            <w:tcW w:w="5428"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一般公共预算支出</w:t>
            </w:r>
          </w:p>
        </w:tc>
      </w:tr>
      <w:tr>
        <w:tblPrEx>
          <w:tblLayout w:type="fixed"/>
          <w:tblCellMar>
            <w:top w:w="15" w:type="dxa"/>
            <w:left w:w="108" w:type="dxa"/>
            <w:bottom w:w="15" w:type="dxa"/>
            <w:right w:w="108" w:type="dxa"/>
          </w:tblCellMar>
        </w:tblPrEx>
        <w:trPr>
          <w:trHeight w:val="589" w:hRule="atLeast"/>
        </w:trPr>
        <w:tc>
          <w:tcPr>
            <w:tcW w:w="329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13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小计</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其中：基本支出</w:t>
            </w:r>
          </w:p>
        </w:tc>
        <w:tc>
          <w:tcPr>
            <w:tcW w:w="219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项目支出</w:t>
            </w:r>
          </w:p>
        </w:tc>
      </w:tr>
      <w:tr>
        <w:tblPrEx>
          <w:tblLayout w:type="fixed"/>
          <w:tblCellMar>
            <w:top w:w="15" w:type="dxa"/>
            <w:left w:w="108" w:type="dxa"/>
            <w:bottom w:w="15" w:type="dxa"/>
            <w:right w:w="108" w:type="dxa"/>
          </w:tblCellMar>
        </w:tblPrEx>
        <w:trPr>
          <w:trHeight w:val="589" w:hRule="atLeast"/>
        </w:trPr>
        <w:tc>
          <w:tcPr>
            <w:tcW w:w="32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13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298.42</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298.42</w:t>
            </w:r>
          </w:p>
        </w:tc>
        <w:tc>
          <w:tcPr>
            <w:tcW w:w="219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589" w:hRule="atLeast"/>
        </w:trPr>
        <w:tc>
          <w:tcPr>
            <w:tcW w:w="32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[2060101]行政运行（科学技术管理事务）</w:t>
            </w:r>
          </w:p>
        </w:tc>
        <w:tc>
          <w:tcPr>
            <w:tcW w:w="13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98.40</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98.40</w:t>
            </w:r>
          </w:p>
        </w:tc>
        <w:tc>
          <w:tcPr>
            <w:tcW w:w="219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589" w:hRule="atLeast"/>
        </w:trPr>
        <w:tc>
          <w:tcPr>
            <w:tcW w:w="32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[2060199]其他科学技术管理事务支出</w:t>
            </w:r>
          </w:p>
        </w:tc>
        <w:tc>
          <w:tcPr>
            <w:tcW w:w="13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116.07</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116.07</w:t>
            </w:r>
          </w:p>
        </w:tc>
        <w:tc>
          <w:tcPr>
            <w:tcW w:w="219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589" w:hRule="atLeast"/>
        </w:trPr>
        <w:tc>
          <w:tcPr>
            <w:tcW w:w="32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[2060403]产业技术研究与开发</w:t>
            </w:r>
          </w:p>
        </w:tc>
        <w:tc>
          <w:tcPr>
            <w:tcW w:w="13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25.00</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25.00</w:t>
            </w:r>
          </w:p>
        </w:tc>
        <w:tc>
          <w:tcPr>
            <w:tcW w:w="219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589" w:hRule="atLeast"/>
        </w:trPr>
        <w:tc>
          <w:tcPr>
            <w:tcW w:w="32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[2101201]财政对职工基本医疗保险基金的补助</w:t>
            </w:r>
          </w:p>
        </w:tc>
        <w:tc>
          <w:tcPr>
            <w:tcW w:w="13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9.66</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9.66</w:t>
            </w:r>
          </w:p>
        </w:tc>
        <w:tc>
          <w:tcPr>
            <w:tcW w:w="219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589" w:hRule="atLeast"/>
        </w:trPr>
        <w:tc>
          <w:tcPr>
            <w:tcW w:w="32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[2200450]地震事业机构</w:t>
            </w:r>
          </w:p>
        </w:tc>
        <w:tc>
          <w:tcPr>
            <w:tcW w:w="13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35.20</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35.20</w:t>
            </w:r>
          </w:p>
        </w:tc>
        <w:tc>
          <w:tcPr>
            <w:tcW w:w="219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589" w:hRule="atLeast"/>
        </w:trPr>
        <w:tc>
          <w:tcPr>
            <w:tcW w:w="32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w:t>
            </w:r>
            <w:r>
              <w:rPr>
                <w:rFonts w:hint="eastAsia" w:ascii="宋体" w:hAnsi="宋体" w:eastAsia="宋体" w:cs="宋体"/>
                <w:color w:val="000000"/>
                <w:kern w:val="0"/>
                <w:sz w:val="22"/>
                <w:lang w:val="en-US" w:eastAsia="zh-CN"/>
              </w:rPr>
              <w:t>22</w:t>
            </w:r>
            <w:r>
              <w:rPr>
                <w:rFonts w:hint="eastAsia" w:ascii="宋体" w:hAnsi="宋体" w:eastAsia="宋体" w:cs="宋体"/>
                <w:color w:val="000000"/>
                <w:kern w:val="0"/>
                <w:sz w:val="22"/>
              </w:rPr>
              <w:t>10201]住房公积金</w:t>
            </w:r>
          </w:p>
        </w:tc>
        <w:tc>
          <w:tcPr>
            <w:tcW w:w="13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14.09</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14.09</w:t>
            </w:r>
          </w:p>
        </w:tc>
        <w:tc>
          <w:tcPr>
            <w:tcW w:w="219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bl>
    <w:p>
      <w:pPr>
        <w:rPr>
          <w:rFonts w:asciiTheme="minorEastAsia" w:hAnsiTheme="minorEastAsia"/>
          <w:szCs w:val="21"/>
        </w:rPr>
      </w:pPr>
    </w:p>
    <w:p>
      <w:pPr>
        <w:widowControl/>
        <w:jc w:val="left"/>
        <w:rPr>
          <w:rFonts w:asciiTheme="minorEastAsia" w:hAnsiTheme="minorEastAsia"/>
          <w:szCs w:val="21"/>
        </w:rPr>
      </w:pPr>
      <w:r>
        <w:rPr>
          <w:rFonts w:asciiTheme="minorEastAsia" w:hAnsiTheme="minorEastAsia"/>
          <w:szCs w:val="21"/>
        </w:rPr>
        <w:br w:type="page"/>
      </w:r>
    </w:p>
    <w:tbl>
      <w:tblPr>
        <w:tblStyle w:val="4"/>
        <w:tblW w:w="8522" w:type="dxa"/>
        <w:tblInd w:w="0" w:type="dxa"/>
        <w:tblLayout w:type="fixed"/>
        <w:tblCellMar>
          <w:top w:w="15" w:type="dxa"/>
          <w:left w:w="108" w:type="dxa"/>
          <w:bottom w:w="15" w:type="dxa"/>
          <w:right w:w="108" w:type="dxa"/>
        </w:tblCellMar>
      </w:tblPr>
      <w:tblGrid>
        <w:gridCol w:w="3536"/>
        <w:gridCol w:w="3536"/>
        <w:gridCol w:w="1450"/>
      </w:tblGrid>
      <w:tr>
        <w:tblPrEx>
          <w:tblLayout w:type="fixed"/>
          <w:tblCellMar>
            <w:top w:w="15" w:type="dxa"/>
            <w:left w:w="108" w:type="dxa"/>
            <w:bottom w:w="15" w:type="dxa"/>
            <w:right w:w="108" w:type="dxa"/>
          </w:tblCellMar>
        </w:tblPrEx>
        <w:trPr>
          <w:trHeight w:val="362" w:hRule="atLeast"/>
        </w:trPr>
        <w:tc>
          <w:tcPr>
            <w:tcW w:w="8522" w:type="dxa"/>
            <w:gridSpan w:val="3"/>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表6</w:t>
            </w:r>
          </w:p>
        </w:tc>
      </w:tr>
      <w:tr>
        <w:tblPrEx>
          <w:tblLayout w:type="fixed"/>
          <w:tblCellMar>
            <w:top w:w="15" w:type="dxa"/>
            <w:left w:w="108" w:type="dxa"/>
            <w:bottom w:w="15" w:type="dxa"/>
            <w:right w:w="108" w:type="dxa"/>
          </w:tblCellMar>
        </w:tblPrEx>
        <w:trPr>
          <w:trHeight w:val="686" w:hRule="atLeast"/>
        </w:trPr>
        <w:tc>
          <w:tcPr>
            <w:tcW w:w="8522" w:type="dxa"/>
            <w:gridSpan w:val="3"/>
            <w:vAlign w:val="center"/>
          </w:tcPr>
          <w:p>
            <w:pPr>
              <w:widowControl/>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一般公共预算基本支出情况表（按支出经济分类科目）</w:t>
            </w:r>
          </w:p>
        </w:tc>
      </w:tr>
      <w:tr>
        <w:tblPrEx>
          <w:tblLayout w:type="fixed"/>
          <w:tblCellMar>
            <w:top w:w="15" w:type="dxa"/>
            <w:left w:w="108" w:type="dxa"/>
            <w:bottom w:w="15" w:type="dxa"/>
            <w:right w:w="108" w:type="dxa"/>
          </w:tblCellMar>
        </w:tblPrEx>
        <w:trPr>
          <w:trHeight w:val="686" w:hRule="atLeast"/>
        </w:trPr>
        <w:tc>
          <w:tcPr>
            <w:tcW w:w="3536" w:type="dxa"/>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单位名称：惠来县科学技术局</w:t>
            </w:r>
          </w:p>
        </w:tc>
        <w:tc>
          <w:tcPr>
            <w:tcW w:w="3536" w:type="dxa"/>
            <w:vAlign w:val="bottom"/>
          </w:tcPr>
          <w:p>
            <w:pPr>
              <w:widowControl/>
              <w:jc w:val="left"/>
              <w:rPr>
                <w:rFonts w:ascii="宋体" w:hAnsi="宋体" w:eastAsia="宋体" w:cs="宋体"/>
                <w:color w:val="000000"/>
                <w:kern w:val="0"/>
                <w:sz w:val="22"/>
              </w:rPr>
            </w:pPr>
          </w:p>
        </w:tc>
        <w:tc>
          <w:tcPr>
            <w:tcW w:w="1450" w:type="dxa"/>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单位：万元</w:t>
            </w: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政府预算支出经济分类</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部门预算支出经济科目</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w:t>
            </w:r>
            <w:r>
              <w:rPr>
                <w:rFonts w:hint="eastAsia" w:ascii="宋体" w:hAnsi="宋体" w:eastAsia="宋体" w:cs="宋体"/>
                <w:color w:val="000000"/>
                <w:kern w:val="0"/>
                <w:sz w:val="22"/>
                <w:lang w:val="en-US" w:eastAsia="zh-CN"/>
              </w:rPr>
              <w:t>8</w:t>
            </w:r>
            <w:r>
              <w:rPr>
                <w:rFonts w:hint="eastAsia" w:ascii="宋体" w:hAnsi="宋体" w:eastAsia="宋体" w:cs="宋体"/>
                <w:color w:val="000000"/>
                <w:kern w:val="0"/>
                <w:sz w:val="22"/>
              </w:rPr>
              <w:t>年预算</w:t>
            </w: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298.42</w:t>
            </w: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[501]机关工资福利支出</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[301]工资福利支出</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240.31</w:t>
            </w: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[50101]工资奖金津补贴</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[30101]基本工资</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119.19</w:t>
            </w: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[50101]工资奖金津补贴</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[30102]津贴补贴</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97.37</w:t>
            </w: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[50101]工资奖金津补贴</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[30103]奖金</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[50102]社会保障缴费</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[30112]其他社会保障缴费</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9.66</w:t>
            </w: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[50103]住房公积金</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[30113]住房公积金</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14.09</w:t>
            </w: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[50199]其他工资福利支出</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[30106]伙食补助费</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[502]机关商品和服务支出</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[302]商品和服务支出</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58.11</w:t>
            </w: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[50201]办公经费</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[30201]办公</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6.45</w:t>
            </w: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[50201]办公经费</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[30202]印刷费</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4.06</w:t>
            </w: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[50201]办公经费</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[30204]手续费</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[50201]办公经费</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[30205]水费</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0.5</w:t>
            </w: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[50201]办公经费</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[30206]电费</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1.3</w:t>
            </w: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[50201]办公经费</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[30207]邮电费</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w:t>
            </w:r>
            <w:r>
              <w:rPr>
                <w:rFonts w:hint="eastAsia" w:ascii="宋体" w:hAnsi="宋体" w:eastAsia="宋体" w:cs="宋体"/>
                <w:color w:val="000000"/>
                <w:kern w:val="0"/>
                <w:sz w:val="22"/>
                <w:lang w:val="en-US" w:eastAsia="zh-CN"/>
              </w:rPr>
              <w:t>2</w:t>
            </w: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[50201]办公经费</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[30209]物业管理费</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[50201]办公经费</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[30211]差旅费</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5</w:t>
            </w: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[50201]办公经费</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[30214]租赁费</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[50201]办公经费</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[30228]工会经费</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[50201]办公经费</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[30229]福利费</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[50201]办公经费</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[30239]其他交通费用</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12.1</w:t>
            </w: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[50202]会议费</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[30215]会议费</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w:t>
            </w:r>
            <w:r>
              <w:rPr>
                <w:rFonts w:hint="eastAsia" w:ascii="宋体" w:hAnsi="宋体" w:eastAsia="宋体" w:cs="宋体"/>
                <w:color w:val="000000"/>
                <w:kern w:val="0"/>
                <w:sz w:val="22"/>
                <w:lang w:val="en-US" w:eastAsia="zh-CN"/>
              </w:rPr>
              <w:t>4</w:t>
            </w: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[50203]培训费</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[30216]培训费</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2.6</w:t>
            </w: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[50205]委托业务费</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[30203]资询费</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[50205]委托业务费</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[30226]劳务费</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0.8</w:t>
            </w: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[50205]委托业务费</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[30227]委托业务费</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[50206]公务接待费</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[30217]公务接待费</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3.9</w:t>
            </w: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[50207]因公出国(境)费用</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[30212]因公出国(境)费用</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[50208]公务用车运行维护费</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[30231]公务用车运行维护费</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2.8</w:t>
            </w: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[50209]维修(护)费</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[30213]维修(护)费</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[50299]其他商品和服务支出</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[30299]其他商品和服务支出</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4</w:t>
            </w: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[503]机关资本性支出(一)</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[310]资本性支出</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[50306]设备购置</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[31002]办公设备购置</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[505]对事业单位经常性补助</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[301]工资福利支出</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[50501]工资福利支出</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[30101]基本工资</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[50501]工资福利支出</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[30102]津贴补贴</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[50501]工资福利支出</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[30103]奖金</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[50501]工资福利支出</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[30107]绩效工资</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[50501]工资福利支出</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[30113]住房公积金</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[50501]工资福利支出</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[30199]其他工资福利支出</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[505]对事业单位经常性补助</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[302]商品和服务支出</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[50502]商品和服务支出</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[30201]办公费</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[50502]商品和服务支出</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[30299]其他商品和服务支出</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[509]对个人和家庭的补助</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[303]对个人和家庭的补助</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[50901]社会福利和救助</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[30304]抚恤金</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[50901]社会福利和救助</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[30305]生活补助</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[50901]社会福利和救助</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[30307]医疗费补助</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[50901]社会福利和救助</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[30309]奖励金</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[50905]离退休费</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[30301]离休费</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[50905]离退休费</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[30302]退体费</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[50999]其他对个人和家庭的补助</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[30399]其他对个人和家庭的补助</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bl>
    <w:p>
      <w:pPr>
        <w:rPr>
          <w:rFonts w:asciiTheme="minorEastAsia" w:hAnsiTheme="minorEastAsia"/>
          <w:szCs w:val="21"/>
        </w:rPr>
      </w:pPr>
    </w:p>
    <w:p>
      <w:pPr>
        <w:widowControl/>
        <w:jc w:val="left"/>
        <w:rPr>
          <w:rFonts w:asciiTheme="minorEastAsia" w:hAnsiTheme="minorEastAsia"/>
          <w:szCs w:val="21"/>
        </w:rPr>
      </w:pPr>
      <w:r>
        <w:rPr>
          <w:rFonts w:asciiTheme="minorEastAsia" w:hAnsiTheme="minorEastAsia"/>
          <w:szCs w:val="21"/>
        </w:rPr>
        <w:br w:type="page"/>
      </w:r>
    </w:p>
    <w:tbl>
      <w:tblPr>
        <w:tblStyle w:val="4"/>
        <w:tblW w:w="8183" w:type="dxa"/>
        <w:tblInd w:w="93" w:type="dxa"/>
        <w:tblLayout w:type="fixed"/>
        <w:tblCellMar>
          <w:top w:w="15" w:type="dxa"/>
          <w:left w:w="108" w:type="dxa"/>
          <w:bottom w:w="15" w:type="dxa"/>
          <w:right w:w="108" w:type="dxa"/>
        </w:tblCellMar>
      </w:tblPr>
      <w:tblGrid>
        <w:gridCol w:w="3406"/>
        <w:gridCol w:w="3406"/>
        <w:gridCol w:w="1371"/>
      </w:tblGrid>
      <w:tr>
        <w:tblPrEx>
          <w:tblLayout w:type="fixed"/>
          <w:tblCellMar>
            <w:top w:w="15" w:type="dxa"/>
            <w:left w:w="108" w:type="dxa"/>
            <w:bottom w:w="15" w:type="dxa"/>
            <w:right w:w="108" w:type="dxa"/>
          </w:tblCellMar>
        </w:tblPrEx>
        <w:trPr>
          <w:trHeight w:val="269" w:hRule="atLeast"/>
        </w:trPr>
        <w:tc>
          <w:tcPr>
            <w:tcW w:w="8183" w:type="dxa"/>
            <w:gridSpan w:val="3"/>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表7</w:t>
            </w:r>
          </w:p>
        </w:tc>
      </w:tr>
      <w:tr>
        <w:tblPrEx>
          <w:tblLayout w:type="fixed"/>
          <w:tblCellMar>
            <w:top w:w="15" w:type="dxa"/>
            <w:left w:w="108" w:type="dxa"/>
            <w:bottom w:w="15" w:type="dxa"/>
            <w:right w:w="108" w:type="dxa"/>
          </w:tblCellMar>
        </w:tblPrEx>
        <w:trPr>
          <w:trHeight w:val="629" w:hRule="atLeast"/>
        </w:trPr>
        <w:tc>
          <w:tcPr>
            <w:tcW w:w="8183" w:type="dxa"/>
            <w:gridSpan w:val="3"/>
            <w:vAlign w:val="center"/>
          </w:tcPr>
          <w:p>
            <w:pPr>
              <w:widowControl/>
              <w:jc w:val="center"/>
              <w:rPr>
                <w:rFonts w:ascii="宋体" w:hAnsi="宋体" w:eastAsia="宋体" w:cs="宋体"/>
                <w:b/>
                <w:color w:val="000000"/>
                <w:kern w:val="0"/>
                <w:sz w:val="32"/>
                <w:szCs w:val="32"/>
              </w:rPr>
            </w:pPr>
            <w:r>
              <w:rPr>
                <w:rFonts w:hint="eastAsia" w:ascii="宋体" w:hAnsi="宋体" w:eastAsia="宋体" w:cs="宋体"/>
                <w:b/>
                <w:color w:val="000000"/>
                <w:kern w:val="0"/>
                <w:sz w:val="32"/>
                <w:szCs w:val="32"/>
              </w:rPr>
              <w:t>一般公共预算项目支出情况表（按支出经济分类科目）</w:t>
            </w:r>
          </w:p>
        </w:tc>
      </w:tr>
      <w:tr>
        <w:tblPrEx>
          <w:tblLayout w:type="fixed"/>
          <w:tblCellMar>
            <w:top w:w="15" w:type="dxa"/>
            <w:left w:w="108" w:type="dxa"/>
            <w:bottom w:w="15" w:type="dxa"/>
            <w:right w:w="108" w:type="dxa"/>
          </w:tblCellMar>
        </w:tblPrEx>
        <w:trPr>
          <w:trHeight w:val="284" w:hRule="atLeast"/>
        </w:trPr>
        <w:tc>
          <w:tcPr>
            <w:tcW w:w="3406" w:type="dxa"/>
            <w:tcBorders>
              <w:top w:val="dotted" w:color="000000" w:sz="4" w:space="0"/>
              <w:left w:val="dotted" w:color="000000" w:sz="4" w:space="0"/>
              <w:right w:val="dotted"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单位名称：惠来县科学技术局</w:t>
            </w:r>
          </w:p>
        </w:tc>
        <w:tc>
          <w:tcPr>
            <w:tcW w:w="3406" w:type="dxa"/>
            <w:tcBorders>
              <w:top w:val="dotted" w:color="000000" w:sz="4" w:space="0"/>
              <w:left w:val="dotted" w:color="000000" w:sz="4" w:space="0"/>
              <w:right w:val="dotted" w:color="000000" w:sz="4" w:space="0"/>
            </w:tcBorders>
            <w:vAlign w:val="bottom"/>
          </w:tcPr>
          <w:p>
            <w:pPr>
              <w:widowControl/>
              <w:jc w:val="left"/>
              <w:rPr>
                <w:rFonts w:ascii="宋体" w:hAnsi="宋体" w:eastAsia="宋体" w:cs="宋体"/>
                <w:color w:val="000000"/>
                <w:kern w:val="0"/>
                <w:sz w:val="22"/>
              </w:rPr>
            </w:pPr>
          </w:p>
        </w:tc>
        <w:tc>
          <w:tcPr>
            <w:tcW w:w="1371" w:type="dxa"/>
            <w:tcBorders>
              <w:top w:val="dotted" w:color="000000" w:sz="4" w:space="0"/>
              <w:left w:val="dotted" w:color="000000" w:sz="4" w:space="0"/>
              <w:right w:val="dotted"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单位：万元</w:t>
            </w: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政府预算支出经济分类</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部门预算支出经济科目</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201</w:t>
            </w:r>
            <w:r>
              <w:rPr>
                <w:rFonts w:hint="eastAsia" w:ascii="宋体" w:hAnsi="宋体" w:eastAsia="宋体" w:cs="宋体"/>
                <w:color w:val="000000"/>
                <w:kern w:val="0"/>
                <w:sz w:val="22"/>
                <w:lang w:val="en-US" w:eastAsia="zh-CN"/>
              </w:rPr>
              <w:t>8</w:t>
            </w:r>
            <w:r>
              <w:rPr>
                <w:rFonts w:hint="eastAsia" w:ascii="宋体" w:hAnsi="宋体" w:eastAsia="宋体" w:cs="宋体"/>
                <w:color w:val="000000"/>
                <w:kern w:val="0"/>
                <w:sz w:val="22"/>
              </w:rPr>
              <w:t>年预算</w:t>
            </w: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[501]机关工资福利支出</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[301]工资福利支出</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[50199]其他工资福利支出</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[30106]伙食补助费</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[50199]其他工资福利支出</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[30199]其他工资福利支出</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[502]机关商品和服务支出</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[302]商品和服务支出</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[50201]办公经费</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[30201]1办公费</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[50201]办公经费</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[30202]印刷费</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[50201]办公经费</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[30204]手续费</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[50201]办公经费</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[30205]水费</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[50201]办公经费</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[30206]电费</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[50201]办公经费</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[30207]邮电费</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[50201]办公经费</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[30209]物业管理费</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[50201]办公经费</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[30211]差旅费</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[50201]办公经费</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[30214]租赁费</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[50201]办公经费</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[30239]其他交通费用</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[50202]会议费</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[30215]会议费</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[50203]培训费</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[30216]培训费</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[50205]委托业务费</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[30203]咨询费</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[50205]委托业务费</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[30226]劳务费</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[50206]公务接待费</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[30217]公务接待费</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[50208]公务用车运行维护费</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[30231]公务用车运行维护费</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[50209]维修(护)费</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[30213]维修(护)费</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[50299]其他商品和服务支出</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30299]其他商品和服务支出</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[503]机关资本性支出(一)</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310]资本性支出</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[50301]房屋建筑物购建</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31001]房屋建筑物购建</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[50303]公务用车购置</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31013]公务用车购置</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[50306]设备购置</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[31002]办公设备购置</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[50306]设备购置</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[31003]专用设备购置</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[50306]设备购置</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[31007]信息网络及软件购置更新</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[50307]大型修缮</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[31006]大型修缮</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[50399]其他资本性支出</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[31099]其他资本性支出</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[509]对个人和家庭的补助</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[303]对个人和家庭的补助</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[50901]社会福利和救助</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[307]医疗费补助</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[50999]其他对个人和家庭的补助</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[30399]其他对个人和家庭的补助</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bl>
    <w:p>
      <w:pPr>
        <w:rPr>
          <w:rFonts w:hint="eastAsia" w:asciiTheme="minorEastAsia" w:hAnsiTheme="minorEastAsia"/>
          <w:szCs w:val="21"/>
        </w:rPr>
      </w:pPr>
    </w:p>
    <w:tbl>
      <w:tblPr>
        <w:tblStyle w:val="4"/>
        <w:tblW w:w="8429" w:type="dxa"/>
        <w:tblInd w:w="93" w:type="dxa"/>
        <w:tblLayout w:type="fixed"/>
        <w:tblCellMar>
          <w:top w:w="15" w:type="dxa"/>
          <w:left w:w="108" w:type="dxa"/>
          <w:bottom w:w="15" w:type="dxa"/>
          <w:right w:w="108" w:type="dxa"/>
        </w:tblCellMar>
      </w:tblPr>
      <w:tblGrid>
        <w:gridCol w:w="6460"/>
        <w:gridCol w:w="1969"/>
      </w:tblGrid>
      <w:tr>
        <w:tblPrEx>
          <w:tblLayout w:type="fixed"/>
          <w:tblCellMar>
            <w:top w:w="15" w:type="dxa"/>
            <w:left w:w="108" w:type="dxa"/>
            <w:bottom w:w="15" w:type="dxa"/>
            <w:right w:w="108" w:type="dxa"/>
          </w:tblCellMar>
        </w:tblPrEx>
        <w:trPr>
          <w:trHeight w:val="286" w:hRule="atLeast"/>
        </w:trPr>
        <w:tc>
          <w:tcPr>
            <w:tcW w:w="8429" w:type="dxa"/>
            <w:gridSpan w:val="2"/>
            <w:vAlign w:val="bottom"/>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表8</w:t>
            </w:r>
          </w:p>
        </w:tc>
      </w:tr>
      <w:tr>
        <w:tblPrEx>
          <w:tblLayout w:type="fixed"/>
          <w:tblCellMar>
            <w:top w:w="15" w:type="dxa"/>
            <w:left w:w="108" w:type="dxa"/>
            <w:bottom w:w="15" w:type="dxa"/>
            <w:right w:w="108" w:type="dxa"/>
          </w:tblCellMar>
        </w:tblPrEx>
        <w:trPr>
          <w:trHeight w:val="630" w:hRule="atLeast"/>
        </w:trPr>
        <w:tc>
          <w:tcPr>
            <w:tcW w:w="8429" w:type="dxa"/>
            <w:gridSpan w:val="2"/>
            <w:vAlign w:val="center"/>
          </w:tcPr>
          <w:p>
            <w:pPr>
              <w:widowControl/>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一般公共预算安排的行政经费及“三公”经费预算表</w:t>
            </w:r>
          </w:p>
        </w:tc>
      </w:tr>
      <w:tr>
        <w:tblPrEx>
          <w:tblLayout w:type="fixed"/>
          <w:tblCellMar>
            <w:top w:w="15" w:type="dxa"/>
            <w:left w:w="108" w:type="dxa"/>
            <w:bottom w:w="15" w:type="dxa"/>
            <w:right w:w="108" w:type="dxa"/>
          </w:tblCellMar>
        </w:tblPrEx>
        <w:trPr>
          <w:trHeight w:val="525" w:hRule="atLeast"/>
        </w:trPr>
        <w:tc>
          <w:tcPr>
            <w:tcW w:w="6460" w:type="dxa"/>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单位名称：惠来县科学技术局</w:t>
            </w:r>
          </w:p>
        </w:tc>
        <w:tc>
          <w:tcPr>
            <w:tcW w:w="1969" w:type="dxa"/>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r>
        <w:tblPrEx>
          <w:tblLayout w:type="fixed"/>
          <w:tblCellMar>
            <w:top w:w="15" w:type="dxa"/>
            <w:left w:w="108" w:type="dxa"/>
            <w:bottom w:w="15" w:type="dxa"/>
            <w:right w:w="108" w:type="dxa"/>
          </w:tblCellMar>
        </w:tblPrEx>
        <w:trPr>
          <w:trHeight w:val="630" w:hRule="atLeast"/>
        </w:trPr>
        <w:tc>
          <w:tcPr>
            <w:tcW w:w="64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    目</w:t>
            </w:r>
          </w:p>
        </w:tc>
        <w:tc>
          <w:tcPr>
            <w:tcW w:w="19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年预算</w:t>
            </w:r>
          </w:p>
        </w:tc>
      </w:tr>
      <w:tr>
        <w:tblPrEx>
          <w:tblLayout w:type="fixed"/>
          <w:tblCellMar>
            <w:top w:w="15" w:type="dxa"/>
            <w:left w:w="108" w:type="dxa"/>
            <w:bottom w:w="15" w:type="dxa"/>
            <w:right w:w="108" w:type="dxa"/>
          </w:tblCellMar>
        </w:tblPrEx>
        <w:trPr>
          <w:trHeight w:val="630" w:hRule="atLeast"/>
        </w:trPr>
        <w:tc>
          <w:tcPr>
            <w:tcW w:w="64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行政经费</w:t>
            </w:r>
          </w:p>
        </w:tc>
        <w:tc>
          <w:tcPr>
            <w:tcW w:w="19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p>
        </w:tc>
      </w:tr>
      <w:tr>
        <w:tblPrEx>
          <w:tblLayout w:type="fixed"/>
          <w:tblCellMar>
            <w:top w:w="15" w:type="dxa"/>
            <w:left w:w="108" w:type="dxa"/>
            <w:bottom w:w="15" w:type="dxa"/>
            <w:right w:w="108" w:type="dxa"/>
          </w:tblCellMar>
        </w:tblPrEx>
        <w:trPr>
          <w:trHeight w:val="630" w:hRule="atLeast"/>
        </w:trPr>
        <w:tc>
          <w:tcPr>
            <w:tcW w:w="64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“三公经费”</w:t>
            </w:r>
          </w:p>
        </w:tc>
        <w:tc>
          <w:tcPr>
            <w:tcW w:w="19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11.3</w:t>
            </w:r>
          </w:p>
        </w:tc>
      </w:tr>
      <w:tr>
        <w:tblPrEx>
          <w:tblLayout w:type="fixed"/>
          <w:tblCellMar>
            <w:top w:w="15" w:type="dxa"/>
            <w:left w:w="108" w:type="dxa"/>
            <w:bottom w:w="15" w:type="dxa"/>
            <w:right w:w="108" w:type="dxa"/>
          </w:tblCellMar>
        </w:tblPrEx>
        <w:trPr>
          <w:trHeight w:val="630" w:hRule="atLeast"/>
        </w:trPr>
        <w:tc>
          <w:tcPr>
            <w:tcW w:w="64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其中：“（一）因公出国（境）支出</w:t>
            </w:r>
          </w:p>
        </w:tc>
        <w:tc>
          <w:tcPr>
            <w:tcW w:w="19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p>
        </w:tc>
      </w:tr>
      <w:tr>
        <w:tblPrEx>
          <w:tblLayout w:type="fixed"/>
          <w:tblCellMar>
            <w:top w:w="15" w:type="dxa"/>
            <w:left w:w="108" w:type="dxa"/>
            <w:bottom w:w="15" w:type="dxa"/>
            <w:right w:w="108" w:type="dxa"/>
          </w:tblCellMar>
        </w:tblPrEx>
        <w:trPr>
          <w:trHeight w:val="630" w:hRule="atLeast"/>
        </w:trPr>
        <w:tc>
          <w:tcPr>
            <w:tcW w:w="64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（二）公务用车购置及运行维护支出</w:t>
            </w:r>
          </w:p>
        </w:tc>
        <w:tc>
          <w:tcPr>
            <w:tcW w:w="19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p>
        </w:tc>
      </w:tr>
      <w:tr>
        <w:tblPrEx>
          <w:tblLayout w:type="fixed"/>
          <w:tblCellMar>
            <w:top w:w="15" w:type="dxa"/>
            <w:left w:w="108" w:type="dxa"/>
            <w:bottom w:w="15" w:type="dxa"/>
            <w:right w:w="108" w:type="dxa"/>
          </w:tblCellMar>
        </w:tblPrEx>
        <w:trPr>
          <w:trHeight w:val="630" w:hRule="atLeast"/>
        </w:trPr>
        <w:tc>
          <w:tcPr>
            <w:tcW w:w="64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1.公务用车购置</w:t>
            </w:r>
          </w:p>
        </w:tc>
        <w:tc>
          <w:tcPr>
            <w:tcW w:w="19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p>
        </w:tc>
      </w:tr>
      <w:tr>
        <w:tblPrEx>
          <w:tblLayout w:type="fixed"/>
          <w:tblCellMar>
            <w:top w:w="15" w:type="dxa"/>
            <w:left w:w="108" w:type="dxa"/>
            <w:bottom w:w="15" w:type="dxa"/>
            <w:right w:w="108" w:type="dxa"/>
          </w:tblCellMar>
        </w:tblPrEx>
        <w:trPr>
          <w:trHeight w:val="630" w:hRule="atLeast"/>
        </w:trPr>
        <w:tc>
          <w:tcPr>
            <w:tcW w:w="64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2.公务用车运行维护费</w:t>
            </w:r>
          </w:p>
        </w:tc>
        <w:tc>
          <w:tcPr>
            <w:tcW w:w="19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w:t>
            </w:r>
          </w:p>
        </w:tc>
      </w:tr>
      <w:tr>
        <w:tblPrEx>
          <w:tblLayout w:type="fixed"/>
          <w:tblCellMar>
            <w:top w:w="15" w:type="dxa"/>
            <w:left w:w="108" w:type="dxa"/>
            <w:bottom w:w="15" w:type="dxa"/>
            <w:right w:w="108" w:type="dxa"/>
          </w:tblCellMar>
        </w:tblPrEx>
        <w:trPr>
          <w:trHeight w:val="630" w:hRule="atLeast"/>
        </w:trPr>
        <w:tc>
          <w:tcPr>
            <w:tcW w:w="64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（三）公务接待费支出</w:t>
            </w:r>
          </w:p>
        </w:tc>
        <w:tc>
          <w:tcPr>
            <w:tcW w:w="19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w:t>
            </w:r>
          </w:p>
        </w:tc>
      </w:tr>
      <w:tr>
        <w:tblPrEx>
          <w:tblLayout w:type="fixed"/>
          <w:tblCellMar>
            <w:top w:w="15" w:type="dxa"/>
            <w:left w:w="108" w:type="dxa"/>
            <w:bottom w:w="15" w:type="dxa"/>
            <w:right w:w="108" w:type="dxa"/>
          </w:tblCellMar>
        </w:tblPrEx>
        <w:trPr>
          <w:trHeight w:val="630" w:hRule="atLeast"/>
        </w:trPr>
        <w:tc>
          <w:tcPr>
            <w:tcW w:w="64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19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p>
        </w:tc>
      </w:tr>
      <w:tr>
        <w:tblPrEx>
          <w:tblLayout w:type="fixed"/>
          <w:tblCellMar>
            <w:top w:w="15" w:type="dxa"/>
            <w:left w:w="108" w:type="dxa"/>
            <w:bottom w:w="15" w:type="dxa"/>
            <w:right w:w="108" w:type="dxa"/>
          </w:tblCellMar>
        </w:tblPrEx>
        <w:trPr>
          <w:trHeight w:val="375" w:hRule="atLeast"/>
        </w:trPr>
        <w:tc>
          <w:tcPr>
            <w:tcW w:w="6460" w:type="dxa"/>
            <w:vAlign w:val="bottom"/>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注</w:t>
            </w:r>
          </w:p>
        </w:tc>
        <w:tc>
          <w:tcPr>
            <w:tcW w:w="1969" w:type="dxa"/>
            <w:tcBorders>
              <w:top w:val="single" w:color="000000" w:sz="4" w:space="0"/>
            </w:tcBorders>
            <w:vAlign w:val="bottom"/>
          </w:tcPr>
          <w:p>
            <w:pPr>
              <w:widowControl/>
              <w:jc w:val="left"/>
              <w:rPr>
                <w:rFonts w:ascii="宋体" w:hAnsi="宋体" w:eastAsia="宋体" w:cs="宋体"/>
                <w:color w:val="000000"/>
                <w:kern w:val="0"/>
                <w:sz w:val="24"/>
                <w:szCs w:val="24"/>
              </w:rPr>
            </w:pPr>
          </w:p>
        </w:tc>
      </w:tr>
      <w:tr>
        <w:tblPrEx>
          <w:tblLayout w:type="fixed"/>
          <w:tblCellMar>
            <w:top w:w="15" w:type="dxa"/>
            <w:left w:w="108" w:type="dxa"/>
            <w:bottom w:w="15" w:type="dxa"/>
            <w:right w:w="108" w:type="dxa"/>
          </w:tblCellMar>
        </w:tblPrEx>
        <w:trPr>
          <w:trHeight w:val="1726" w:hRule="atLeast"/>
        </w:trPr>
        <w:tc>
          <w:tcPr>
            <w:tcW w:w="8429" w:type="dxa"/>
            <w:gridSpan w:val="2"/>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行政经费包括:(1)基本支出。一是包括工资、津贴及奖金、医疗费、住房补贴等(不包括离退休支出,包括离退休人员管理机枃的在职人员支出)基本支出;二是包括办公及印刷费、水电费、邮电费、取暖费、交通费、差旅费、会议费、福利费、物业管理费、日常维修费、专用材料费、一般购置费等公用经费支出。(非行政单位不纳入统计范围)(2)一般行政管理项目支出。具体包括出国费、招待费、会议费、办公用房维修租赁、购置费(包括设备、计算机、车辆等)、干部培训费、执法部门办案、信息网络运行维护等。</w:t>
            </w:r>
          </w:p>
        </w:tc>
      </w:tr>
      <w:tr>
        <w:tblPrEx>
          <w:tblLayout w:type="fixed"/>
          <w:tblCellMar>
            <w:top w:w="15" w:type="dxa"/>
            <w:left w:w="108" w:type="dxa"/>
            <w:bottom w:w="15" w:type="dxa"/>
            <w:right w:w="108" w:type="dxa"/>
          </w:tblCellMar>
        </w:tblPrEx>
        <w:trPr>
          <w:trHeight w:val="1561" w:hRule="atLeast"/>
        </w:trPr>
        <w:tc>
          <w:tcPr>
            <w:tcW w:w="8429" w:type="dxa"/>
            <w:gridSpan w:val="2"/>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pPr>
        <w:rPr>
          <w:rFonts w:asciiTheme="minorEastAsia" w:hAnsiTheme="minorEastAsia"/>
          <w:szCs w:val="21"/>
        </w:rPr>
      </w:pPr>
    </w:p>
    <w:p>
      <w:pPr>
        <w:widowControl/>
        <w:jc w:val="left"/>
        <w:rPr>
          <w:rFonts w:asciiTheme="minorEastAsia" w:hAnsiTheme="minorEastAsia"/>
          <w:szCs w:val="21"/>
        </w:rPr>
      </w:pPr>
      <w:r>
        <w:rPr>
          <w:rFonts w:asciiTheme="minorEastAsia" w:hAnsiTheme="minorEastAsia"/>
          <w:szCs w:val="21"/>
        </w:rPr>
        <w:br w:type="page"/>
      </w:r>
    </w:p>
    <w:tbl>
      <w:tblPr>
        <w:tblStyle w:val="4"/>
        <w:tblW w:w="8429" w:type="dxa"/>
        <w:tblInd w:w="93" w:type="dxa"/>
        <w:tblLayout w:type="fixed"/>
        <w:tblCellMar>
          <w:top w:w="15" w:type="dxa"/>
          <w:left w:w="108" w:type="dxa"/>
          <w:bottom w:w="15" w:type="dxa"/>
          <w:right w:w="108" w:type="dxa"/>
        </w:tblCellMar>
      </w:tblPr>
      <w:tblGrid>
        <w:gridCol w:w="3886"/>
        <w:gridCol w:w="869"/>
        <w:gridCol w:w="2265"/>
        <w:gridCol w:w="1409"/>
      </w:tblGrid>
      <w:tr>
        <w:tblPrEx>
          <w:tblLayout w:type="fixed"/>
          <w:tblCellMar>
            <w:top w:w="15" w:type="dxa"/>
            <w:left w:w="108" w:type="dxa"/>
            <w:bottom w:w="15" w:type="dxa"/>
            <w:right w:w="108" w:type="dxa"/>
          </w:tblCellMar>
        </w:tblPrEx>
        <w:trPr>
          <w:trHeight w:val="600" w:hRule="atLeast"/>
        </w:trPr>
        <w:tc>
          <w:tcPr>
            <w:tcW w:w="8429" w:type="dxa"/>
            <w:gridSpan w:val="4"/>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表9</w:t>
            </w:r>
          </w:p>
        </w:tc>
      </w:tr>
      <w:tr>
        <w:tblPrEx>
          <w:tblLayout w:type="fixed"/>
          <w:tblCellMar>
            <w:top w:w="15" w:type="dxa"/>
            <w:left w:w="108" w:type="dxa"/>
            <w:bottom w:w="15" w:type="dxa"/>
            <w:right w:w="108" w:type="dxa"/>
          </w:tblCellMar>
        </w:tblPrEx>
        <w:trPr>
          <w:trHeight w:val="750" w:hRule="atLeast"/>
        </w:trPr>
        <w:tc>
          <w:tcPr>
            <w:tcW w:w="8429" w:type="dxa"/>
            <w:gridSpan w:val="4"/>
            <w:vAlign w:val="center"/>
          </w:tcPr>
          <w:p>
            <w:pPr>
              <w:widowControl/>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201</w:t>
            </w:r>
            <w:r>
              <w:rPr>
                <w:rFonts w:hint="eastAsia" w:ascii="宋体" w:hAnsi="宋体" w:eastAsia="宋体" w:cs="宋体"/>
                <w:b/>
                <w:bCs/>
                <w:color w:val="000000"/>
                <w:kern w:val="0"/>
                <w:sz w:val="36"/>
                <w:szCs w:val="36"/>
                <w:lang w:val="en-US" w:eastAsia="zh-CN"/>
              </w:rPr>
              <w:t>8</w:t>
            </w:r>
            <w:r>
              <w:rPr>
                <w:rFonts w:hint="eastAsia" w:ascii="宋体" w:hAnsi="宋体" w:eastAsia="宋体" w:cs="宋体"/>
                <w:b/>
                <w:bCs/>
                <w:color w:val="000000"/>
                <w:kern w:val="0"/>
                <w:sz w:val="36"/>
                <w:szCs w:val="36"/>
              </w:rPr>
              <w:t>年政府性基金预算支出情况表</w:t>
            </w:r>
          </w:p>
        </w:tc>
      </w:tr>
      <w:tr>
        <w:tblPrEx>
          <w:tblLayout w:type="fixed"/>
          <w:tblCellMar>
            <w:top w:w="15" w:type="dxa"/>
            <w:left w:w="108" w:type="dxa"/>
            <w:bottom w:w="15" w:type="dxa"/>
            <w:right w:w="108" w:type="dxa"/>
          </w:tblCellMar>
        </w:tblPrEx>
        <w:trPr>
          <w:trHeight w:val="540" w:hRule="atLeast"/>
        </w:trPr>
        <w:tc>
          <w:tcPr>
            <w:tcW w:w="3886" w:type="dxa"/>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单位名称：惠来县科学技术局</w:t>
            </w:r>
          </w:p>
        </w:tc>
        <w:tc>
          <w:tcPr>
            <w:tcW w:w="869" w:type="dxa"/>
            <w:vAlign w:val="center"/>
          </w:tcPr>
          <w:p>
            <w:pPr>
              <w:widowControl/>
              <w:jc w:val="left"/>
              <w:rPr>
                <w:rFonts w:ascii="宋体" w:hAnsi="宋体" w:eastAsia="宋体" w:cs="宋体"/>
                <w:color w:val="000000"/>
                <w:kern w:val="0"/>
                <w:sz w:val="24"/>
                <w:szCs w:val="24"/>
              </w:rPr>
            </w:pPr>
          </w:p>
        </w:tc>
        <w:tc>
          <w:tcPr>
            <w:tcW w:w="3674" w:type="dxa"/>
            <w:gridSpan w:val="2"/>
            <w:tcBorders>
              <w:bottom w:val="single" w:color="000000" w:sz="4" w:space="0"/>
            </w:tcBorders>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r>
        <w:tblPrEx>
          <w:tblLayout w:type="fixed"/>
          <w:tblCellMar>
            <w:top w:w="15" w:type="dxa"/>
            <w:left w:w="108" w:type="dxa"/>
            <w:bottom w:w="15" w:type="dxa"/>
            <w:right w:w="108" w:type="dxa"/>
          </w:tblCellMar>
        </w:tblPrEx>
        <w:trPr>
          <w:trHeight w:val="585" w:hRule="atLeast"/>
        </w:trPr>
        <w:tc>
          <w:tcPr>
            <w:tcW w:w="38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功能科目名称</w:t>
            </w:r>
          </w:p>
        </w:tc>
        <w:tc>
          <w:tcPr>
            <w:tcW w:w="454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政府性基金预算支出</w:t>
            </w:r>
          </w:p>
        </w:tc>
      </w:tr>
      <w:tr>
        <w:tblPrEx>
          <w:tblLayout w:type="fixed"/>
          <w:tblCellMar>
            <w:top w:w="15" w:type="dxa"/>
            <w:left w:w="108" w:type="dxa"/>
            <w:bottom w:w="15" w:type="dxa"/>
            <w:right w:w="108" w:type="dxa"/>
          </w:tblCellMar>
        </w:tblPrEx>
        <w:trPr>
          <w:trHeight w:val="585" w:hRule="atLeast"/>
        </w:trPr>
        <w:tc>
          <w:tcPr>
            <w:tcW w:w="38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小计</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其中：基本支出</w:t>
            </w:r>
          </w:p>
        </w:tc>
        <w:tc>
          <w:tcPr>
            <w:tcW w:w="14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项目支出</w:t>
            </w:r>
          </w:p>
        </w:tc>
      </w:tr>
      <w:tr>
        <w:tblPrEx>
          <w:tblLayout w:type="fixed"/>
          <w:tblCellMar>
            <w:top w:w="15" w:type="dxa"/>
            <w:left w:w="108" w:type="dxa"/>
            <w:bottom w:w="15" w:type="dxa"/>
            <w:right w:w="108" w:type="dxa"/>
          </w:tblCellMar>
        </w:tblPrEx>
        <w:trPr>
          <w:trHeight w:val="585" w:hRule="atLeast"/>
        </w:trPr>
        <w:tc>
          <w:tcPr>
            <w:tcW w:w="388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14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r>
      <w:tr>
        <w:tblPrEx>
          <w:tblLayout w:type="fixed"/>
          <w:tblCellMar>
            <w:top w:w="15" w:type="dxa"/>
            <w:left w:w="108" w:type="dxa"/>
            <w:bottom w:w="15" w:type="dxa"/>
            <w:right w:w="108" w:type="dxa"/>
          </w:tblCellMar>
        </w:tblPrEx>
        <w:trPr>
          <w:trHeight w:val="285" w:hRule="atLeast"/>
        </w:trPr>
        <w:tc>
          <w:tcPr>
            <w:tcW w:w="3886" w:type="dxa"/>
            <w:vAlign w:val="bottom"/>
          </w:tcPr>
          <w:p>
            <w:pPr>
              <w:widowControl/>
              <w:jc w:val="left"/>
              <w:rPr>
                <w:rFonts w:ascii="宋体" w:hAnsi="宋体" w:eastAsia="宋体" w:cs="宋体"/>
                <w:color w:val="000000"/>
                <w:kern w:val="0"/>
                <w:sz w:val="24"/>
                <w:szCs w:val="24"/>
              </w:rPr>
            </w:pPr>
          </w:p>
        </w:tc>
        <w:tc>
          <w:tcPr>
            <w:tcW w:w="869" w:type="dxa"/>
            <w:vAlign w:val="bottom"/>
          </w:tcPr>
          <w:p>
            <w:pPr>
              <w:widowControl/>
              <w:jc w:val="left"/>
              <w:rPr>
                <w:rFonts w:ascii="宋体" w:hAnsi="宋体" w:eastAsia="宋体" w:cs="宋体"/>
                <w:color w:val="000000"/>
                <w:kern w:val="0"/>
                <w:sz w:val="24"/>
                <w:szCs w:val="24"/>
              </w:rPr>
            </w:pPr>
          </w:p>
        </w:tc>
        <w:tc>
          <w:tcPr>
            <w:tcW w:w="2265" w:type="dxa"/>
            <w:vAlign w:val="bottom"/>
          </w:tcPr>
          <w:p>
            <w:pPr>
              <w:widowControl/>
              <w:jc w:val="left"/>
              <w:rPr>
                <w:rFonts w:ascii="宋体" w:hAnsi="宋体" w:eastAsia="宋体" w:cs="宋体"/>
                <w:color w:val="000000"/>
                <w:kern w:val="0"/>
                <w:sz w:val="24"/>
                <w:szCs w:val="24"/>
              </w:rPr>
            </w:pPr>
          </w:p>
        </w:tc>
        <w:tc>
          <w:tcPr>
            <w:tcW w:w="1409" w:type="dxa"/>
            <w:vAlign w:val="bottom"/>
          </w:tcPr>
          <w:p>
            <w:pPr>
              <w:widowControl/>
              <w:jc w:val="left"/>
              <w:rPr>
                <w:rFonts w:ascii="宋体" w:hAnsi="宋体" w:eastAsia="宋体" w:cs="宋体"/>
                <w:color w:val="000000"/>
                <w:kern w:val="0"/>
                <w:sz w:val="24"/>
                <w:szCs w:val="24"/>
              </w:rPr>
            </w:pPr>
          </w:p>
        </w:tc>
      </w:tr>
      <w:tr>
        <w:tblPrEx>
          <w:tblLayout w:type="fixed"/>
          <w:tblCellMar>
            <w:top w:w="15" w:type="dxa"/>
            <w:left w:w="108" w:type="dxa"/>
            <w:bottom w:w="15" w:type="dxa"/>
            <w:right w:w="108" w:type="dxa"/>
          </w:tblCellMar>
        </w:tblPrEx>
        <w:trPr>
          <w:trHeight w:val="286" w:hRule="atLeast"/>
        </w:trPr>
        <w:tc>
          <w:tcPr>
            <w:tcW w:w="8429" w:type="dxa"/>
            <w:gridSpan w:val="4"/>
            <w:vAlign w:val="bottom"/>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注：如该部门无政府性基金安排的支出，则本表为空。同时按照财政部有关要求，以空表呈报市人代会审议。</w:t>
            </w:r>
          </w:p>
        </w:tc>
      </w:tr>
    </w:tbl>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tbl>
      <w:tblPr>
        <w:tblStyle w:val="4"/>
        <w:tblW w:w="8429" w:type="dxa"/>
        <w:tblInd w:w="93" w:type="dxa"/>
        <w:tblLayout w:type="fixed"/>
        <w:tblCellMar>
          <w:top w:w="15" w:type="dxa"/>
          <w:left w:w="108" w:type="dxa"/>
          <w:bottom w:w="15" w:type="dxa"/>
          <w:right w:w="108" w:type="dxa"/>
        </w:tblCellMar>
      </w:tblPr>
      <w:tblGrid>
        <w:gridCol w:w="1791"/>
        <w:gridCol w:w="876"/>
        <w:gridCol w:w="876"/>
        <w:gridCol w:w="1159"/>
        <w:gridCol w:w="1003"/>
        <w:gridCol w:w="1097"/>
        <w:gridCol w:w="908"/>
        <w:gridCol w:w="719"/>
      </w:tblGrid>
      <w:tr>
        <w:tblPrEx>
          <w:tblLayout w:type="fixed"/>
          <w:tblCellMar>
            <w:top w:w="15" w:type="dxa"/>
            <w:left w:w="108" w:type="dxa"/>
            <w:bottom w:w="15" w:type="dxa"/>
            <w:right w:w="108" w:type="dxa"/>
          </w:tblCellMar>
        </w:tblPrEx>
        <w:trPr>
          <w:trHeight w:val="464" w:hRule="atLeast"/>
        </w:trPr>
        <w:tc>
          <w:tcPr>
            <w:tcW w:w="8429" w:type="dxa"/>
            <w:gridSpan w:val="8"/>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表10</w:t>
            </w:r>
          </w:p>
        </w:tc>
      </w:tr>
      <w:tr>
        <w:tblPrEx>
          <w:tblLayout w:type="fixed"/>
          <w:tblCellMar>
            <w:top w:w="15" w:type="dxa"/>
            <w:left w:w="108" w:type="dxa"/>
            <w:bottom w:w="15" w:type="dxa"/>
            <w:right w:w="108" w:type="dxa"/>
          </w:tblCellMar>
        </w:tblPrEx>
        <w:trPr>
          <w:trHeight w:val="386" w:hRule="atLeast"/>
        </w:trPr>
        <w:tc>
          <w:tcPr>
            <w:tcW w:w="6802" w:type="dxa"/>
            <w:gridSpan w:val="6"/>
            <w:vAlign w:val="center"/>
          </w:tcPr>
          <w:p>
            <w:pPr>
              <w:widowControl/>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 xml:space="preserve">       201</w:t>
            </w:r>
            <w:r>
              <w:rPr>
                <w:rFonts w:hint="eastAsia" w:ascii="宋体" w:hAnsi="宋体" w:eastAsia="宋体" w:cs="宋体"/>
                <w:b/>
                <w:bCs/>
                <w:color w:val="000000"/>
                <w:kern w:val="0"/>
                <w:sz w:val="32"/>
                <w:szCs w:val="32"/>
                <w:lang w:val="en-US" w:eastAsia="zh-CN"/>
              </w:rPr>
              <w:t>8</w:t>
            </w:r>
            <w:r>
              <w:rPr>
                <w:rFonts w:hint="eastAsia" w:ascii="宋体" w:hAnsi="宋体" w:eastAsia="宋体" w:cs="宋体"/>
                <w:b/>
                <w:bCs/>
                <w:color w:val="000000"/>
                <w:kern w:val="0"/>
                <w:sz w:val="32"/>
                <w:szCs w:val="32"/>
              </w:rPr>
              <w:t>年部门预算基本支出情况表</w:t>
            </w:r>
          </w:p>
        </w:tc>
        <w:tc>
          <w:tcPr>
            <w:tcW w:w="908" w:type="dxa"/>
            <w:vAlign w:val="bottom"/>
          </w:tcPr>
          <w:p>
            <w:pPr>
              <w:widowControl/>
              <w:jc w:val="left"/>
              <w:rPr>
                <w:rFonts w:ascii="宋体" w:hAnsi="宋体" w:eastAsia="宋体" w:cs="宋体"/>
                <w:color w:val="000000"/>
                <w:kern w:val="0"/>
                <w:sz w:val="22"/>
              </w:rPr>
            </w:pPr>
          </w:p>
        </w:tc>
        <w:tc>
          <w:tcPr>
            <w:tcW w:w="719" w:type="dxa"/>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540" w:hRule="atLeast"/>
        </w:trPr>
        <w:tc>
          <w:tcPr>
            <w:tcW w:w="3543" w:type="dxa"/>
            <w:gridSpan w:val="3"/>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单位名称：惠来县科学技术局</w:t>
            </w:r>
          </w:p>
        </w:tc>
        <w:tc>
          <w:tcPr>
            <w:tcW w:w="4886" w:type="dxa"/>
            <w:gridSpan w:val="5"/>
            <w:tcBorders>
              <w:bottom w:val="single" w:color="000000" w:sz="4" w:space="0"/>
            </w:tcBorders>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单位：万元</w:t>
            </w:r>
          </w:p>
        </w:tc>
      </w:tr>
      <w:tr>
        <w:tblPrEx>
          <w:tblLayout w:type="fixed"/>
          <w:tblCellMar>
            <w:top w:w="15" w:type="dxa"/>
            <w:left w:w="108" w:type="dxa"/>
            <w:bottom w:w="15" w:type="dxa"/>
            <w:right w:w="108" w:type="dxa"/>
          </w:tblCellMar>
        </w:tblPrEx>
        <w:trPr>
          <w:trHeight w:val="585" w:hRule="atLeast"/>
        </w:trPr>
        <w:tc>
          <w:tcPr>
            <w:tcW w:w="179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支出项目类别（资金使用单位）</w:t>
            </w:r>
          </w:p>
        </w:tc>
        <w:tc>
          <w:tcPr>
            <w:tcW w:w="8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总计</w:t>
            </w:r>
          </w:p>
        </w:tc>
        <w:tc>
          <w:tcPr>
            <w:tcW w:w="413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财政拨款</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财政专户拨款</w:t>
            </w:r>
          </w:p>
        </w:tc>
        <w:tc>
          <w:tcPr>
            <w:tcW w:w="71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其他资金</w:t>
            </w:r>
          </w:p>
        </w:tc>
      </w:tr>
      <w:tr>
        <w:tblPrEx>
          <w:tblLayout w:type="fixed"/>
          <w:tblCellMar>
            <w:top w:w="15" w:type="dxa"/>
            <w:left w:w="108" w:type="dxa"/>
            <w:bottom w:w="15" w:type="dxa"/>
            <w:right w:w="108" w:type="dxa"/>
          </w:tblCellMar>
        </w:tblPrEx>
        <w:trPr>
          <w:trHeight w:val="585" w:hRule="atLeast"/>
        </w:trPr>
        <w:tc>
          <w:tcPr>
            <w:tcW w:w="17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8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11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一般公共预算</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政府性基金预算</w:t>
            </w:r>
          </w:p>
        </w:tc>
        <w:tc>
          <w:tcPr>
            <w:tcW w:w="10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国有资本经营预算</w:t>
            </w: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7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585" w:hRule="atLeast"/>
        </w:trPr>
        <w:tc>
          <w:tcPr>
            <w:tcW w:w="1791" w:type="dxa"/>
            <w:tcBorders>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p>
        </w:tc>
        <w:tc>
          <w:tcPr>
            <w:tcW w:w="876" w:type="dxa"/>
            <w:tcBorders>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1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0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r>
      <w:tr>
        <w:tblPrEx>
          <w:tblLayout w:type="fixed"/>
          <w:tblCellMar>
            <w:top w:w="15" w:type="dxa"/>
            <w:left w:w="108" w:type="dxa"/>
            <w:bottom w:w="15" w:type="dxa"/>
            <w:right w:w="108" w:type="dxa"/>
          </w:tblCellMar>
        </w:tblPrEx>
        <w:trPr>
          <w:trHeight w:val="585" w:hRule="atLeast"/>
        </w:trPr>
        <w:tc>
          <w:tcPr>
            <w:tcW w:w="1791" w:type="dxa"/>
            <w:tcBorders>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298.42</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298.42</w:t>
            </w:r>
          </w:p>
        </w:tc>
        <w:tc>
          <w:tcPr>
            <w:tcW w:w="11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298.42</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109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585" w:hRule="atLeast"/>
        </w:trPr>
        <w:tc>
          <w:tcPr>
            <w:tcW w:w="1791" w:type="dxa"/>
            <w:tcBorders>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p>
        </w:tc>
        <w:tc>
          <w:tcPr>
            <w:tcW w:w="876" w:type="dxa"/>
            <w:tcBorders>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115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109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bl>
    <w:p>
      <w:pPr>
        <w:rPr>
          <w:rFonts w:asciiTheme="minorEastAsia" w:hAnsiTheme="minorEastAsia"/>
          <w:szCs w:val="21"/>
        </w:rPr>
      </w:pPr>
    </w:p>
    <w:p>
      <w:pPr>
        <w:widowControl/>
        <w:jc w:val="left"/>
        <w:rPr>
          <w:rFonts w:asciiTheme="minorEastAsia" w:hAnsiTheme="minorEastAsia"/>
          <w:szCs w:val="21"/>
        </w:rPr>
      </w:pPr>
      <w:r>
        <w:rPr>
          <w:rFonts w:asciiTheme="minorEastAsia" w:hAnsiTheme="minorEastAsia"/>
          <w:szCs w:val="21"/>
        </w:rPr>
        <w:br w:type="page"/>
      </w:r>
    </w:p>
    <w:tbl>
      <w:tblPr>
        <w:tblStyle w:val="4"/>
        <w:tblW w:w="8429" w:type="dxa"/>
        <w:tblInd w:w="93" w:type="dxa"/>
        <w:tblLayout w:type="fixed"/>
        <w:tblCellMar>
          <w:top w:w="15" w:type="dxa"/>
          <w:left w:w="108" w:type="dxa"/>
          <w:bottom w:w="15" w:type="dxa"/>
          <w:right w:w="108" w:type="dxa"/>
        </w:tblCellMar>
      </w:tblPr>
      <w:tblGrid>
        <w:gridCol w:w="1836"/>
        <w:gridCol w:w="551"/>
        <w:gridCol w:w="551"/>
        <w:gridCol w:w="931"/>
        <w:gridCol w:w="1026"/>
        <w:gridCol w:w="1121"/>
        <w:gridCol w:w="931"/>
        <w:gridCol w:w="741"/>
        <w:gridCol w:w="741"/>
      </w:tblGrid>
      <w:tr>
        <w:tblPrEx>
          <w:tblLayout w:type="fixed"/>
          <w:tblCellMar>
            <w:top w:w="15" w:type="dxa"/>
            <w:left w:w="108" w:type="dxa"/>
            <w:bottom w:w="15" w:type="dxa"/>
            <w:right w:w="108" w:type="dxa"/>
          </w:tblCellMar>
        </w:tblPrEx>
        <w:trPr>
          <w:trHeight w:val="600" w:hRule="atLeast"/>
        </w:trPr>
        <w:tc>
          <w:tcPr>
            <w:tcW w:w="8429" w:type="dxa"/>
            <w:gridSpan w:val="9"/>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表11</w:t>
            </w:r>
          </w:p>
        </w:tc>
      </w:tr>
      <w:tr>
        <w:tblPrEx>
          <w:tblLayout w:type="fixed"/>
          <w:tblCellMar>
            <w:top w:w="15" w:type="dxa"/>
            <w:left w:w="108" w:type="dxa"/>
            <w:bottom w:w="15" w:type="dxa"/>
            <w:right w:w="108" w:type="dxa"/>
          </w:tblCellMar>
        </w:tblPrEx>
        <w:trPr>
          <w:trHeight w:val="945" w:hRule="atLeast"/>
        </w:trPr>
        <w:tc>
          <w:tcPr>
            <w:tcW w:w="8429" w:type="dxa"/>
            <w:gridSpan w:val="9"/>
            <w:vAlign w:val="center"/>
          </w:tcPr>
          <w:p>
            <w:pPr>
              <w:widowControl/>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lang w:val="en-US" w:eastAsia="zh-CN"/>
              </w:rPr>
              <w:t>2018</w:t>
            </w:r>
            <w:r>
              <w:rPr>
                <w:rFonts w:hint="eastAsia" w:ascii="宋体" w:hAnsi="宋体" w:eastAsia="宋体" w:cs="宋体"/>
                <w:b/>
                <w:bCs/>
                <w:color w:val="000000"/>
                <w:kern w:val="0"/>
                <w:sz w:val="36"/>
                <w:szCs w:val="36"/>
              </w:rPr>
              <w:t>年部门预算项目支出及其他支出预算表</w:t>
            </w:r>
          </w:p>
        </w:tc>
      </w:tr>
      <w:tr>
        <w:tblPrEx>
          <w:tblLayout w:type="fixed"/>
          <w:tblCellMar>
            <w:top w:w="15" w:type="dxa"/>
            <w:left w:w="108" w:type="dxa"/>
            <w:bottom w:w="15" w:type="dxa"/>
            <w:right w:w="108" w:type="dxa"/>
          </w:tblCellMar>
        </w:tblPrEx>
        <w:trPr>
          <w:trHeight w:val="540" w:hRule="atLeast"/>
        </w:trPr>
        <w:tc>
          <w:tcPr>
            <w:tcW w:w="8429" w:type="dxa"/>
            <w:gridSpan w:val="9"/>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单位名称：惠来县科学技术局                                单位：万元</w:t>
            </w:r>
          </w:p>
        </w:tc>
      </w:tr>
      <w:tr>
        <w:tblPrEx>
          <w:tblLayout w:type="fixed"/>
          <w:tblCellMar>
            <w:top w:w="15" w:type="dxa"/>
            <w:left w:w="108" w:type="dxa"/>
            <w:bottom w:w="15" w:type="dxa"/>
            <w:right w:w="108" w:type="dxa"/>
          </w:tblCellMar>
        </w:tblPrEx>
        <w:trPr>
          <w:trHeight w:val="585" w:hRule="atLeast"/>
        </w:trPr>
        <w:tc>
          <w:tcPr>
            <w:tcW w:w="183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支出项目类别（资金使用单位）</w:t>
            </w:r>
          </w:p>
        </w:tc>
        <w:tc>
          <w:tcPr>
            <w:tcW w:w="5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总计</w:t>
            </w:r>
          </w:p>
        </w:tc>
        <w:tc>
          <w:tcPr>
            <w:tcW w:w="362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财政拨款</w:t>
            </w:r>
          </w:p>
        </w:tc>
        <w:tc>
          <w:tcPr>
            <w:tcW w:w="9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财政专户拨款</w:t>
            </w:r>
          </w:p>
        </w:tc>
        <w:tc>
          <w:tcPr>
            <w:tcW w:w="7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其他资金</w:t>
            </w:r>
          </w:p>
        </w:tc>
        <w:tc>
          <w:tcPr>
            <w:tcW w:w="7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绩效目标</w:t>
            </w:r>
          </w:p>
        </w:tc>
      </w:tr>
      <w:tr>
        <w:tblPrEx>
          <w:tblLayout w:type="fixed"/>
          <w:tblCellMar>
            <w:top w:w="15" w:type="dxa"/>
            <w:left w:w="108" w:type="dxa"/>
            <w:bottom w:w="15" w:type="dxa"/>
            <w:right w:w="108" w:type="dxa"/>
          </w:tblCellMar>
        </w:tblPrEx>
        <w:trPr>
          <w:trHeight w:val="585" w:hRule="atLeast"/>
        </w:trPr>
        <w:tc>
          <w:tcPr>
            <w:tcW w:w="18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5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5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合计</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一般公共预算</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政府性基金预算</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国有资本经营预算</w:t>
            </w:r>
          </w:p>
        </w:tc>
        <w:tc>
          <w:tcPr>
            <w:tcW w:w="93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74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74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r>
      <w:tr>
        <w:tblPrEx>
          <w:tblLayout w:type="fixed"/>
          <w:tblCellMar>
            <w:top w:w="15" w:type="dxa"/>
            <w:left w:w="108" w:type="dxa"/>
            <w:bottom w:w="15" w:type="dxa"/>
            <w:right w:w="108" w:type="dxa"/>
          </w:tblCellMar>
        </w:tblPrEx>
        <w:trPr>
          <w:trHeight w:val="585" w:hRule="atLeast"/>
        </w:trPr>
        <w:tc>
          <w:tcPr>
            <w:tcW w:w="1836" w:type="dxa"/>
            <w:tcBorders>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p>
        </w:tc>
        <w:tc>
          <w:tcPr>
            <w:tcW w:w="551" w:type="dxa"/>
            <w:tcBorders>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5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741"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r>
      <w:tr>
        <w:tblPrEx>
          <w:tblLayout w:type="fixed"/>
          <w:tblCellMar>
            <w:top w:w="15" w:type="dxa"/>
            <w:left w:w="108" w:type="dxa"/>
            <w:bottom w:w="15" w:type="dxa"/>
            <w:right w:w="108" w:type="dxa"/>
          </w:tblCellMar>
        </w:tblPrEx>
        <w:trPr>
          <w:trHeight w:val="585" w:hRule="atLeast"/>
        </w:trPr>
        <w:tc>
          <w:tcPr>
            <w:tcW w:w="1836" w:type="dxa"/>
            <w:tcBorders>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合计</w:t>
            </w:r>
          </w:p>
        </w:tc>
        <w:tc>
          <w:tcPr>
            <w:tcW w:w="551" w:type="dxa"/>
            <w:tcBorders>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p>
        </w:tc>
        <w:tc>
          <w:tcPr>
            <w:tcW w:w="55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74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4"/>
                <w:szCs w:val="24"/>
              </w:rPr>
            </w:pPr>
          </w:p>
        </w:tc>
      </w:tr>
      <w:tr>
        <w:tblPrEx>
          <w:tblLayout w:type="fixed"/>
          <w:tblCellMar>
            <w:top w:w="15" w:type="dxa"/>
            <w:left w:w="108" w:type="dxa"/>
            <w:bottom w:w="15" w:type="dxa"/>
            <w:right w:w="108" w:type="dxa"/>
          </w:tblCellMar>
        </w:tblPrEx>
        <w:trPr>
          <w:trHeight w:val="585" w:hRule="atLeast"/>
        </w:trPr>
        <w:tc>
          <w:tcPr>
            <w:tcW w:w="1836" w:type="dxa"/>
            <w:tcBorders>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p>
        </w:tc>
        <w:tc>
          <w:tcPr>
            <w:tcW w:w="551" w:type="dxa"/>
            <w:tcBorders>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p>
        </w:tc>
        <w:tc>
          <w:tcPr>
            <w:tcW w:w="55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74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4"/>
                <w:szCs w:val="24"/>
              </w:rPr>
            </w:pPr>
          </w:p>
        </w:tc>
      </w:tr>
      <w:tr>
        <w:tblPrEx>
          <w:tblLayout w:type="fixed"/>
          <w:tblCellMar>
            <w:top w:w="15" w:type="dxa"/>
            <w:left w:w="108" w:type="dxa"/>
            <w:bottom w:w="15" w:type="dxa"/>
            <w:right w:w="108" w:type="dxa"/>
          </w:tblCellMar>
        </w:tblPrEx>
        <w:trPr>
          <w:trHeight w:val="585" w:hRule="atLeast"/>
        </w:trPr>
        <w:tc>
          <w:tcPr>
            <w:tcW w:w="1836" w:type="dxa"/>
            <w:tcBorders>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p>
        </w:tc>
        <w:tc>
          <w:tcPr>
            <w:tcW w:w="551" w:type="dxa"/>
            <w:tcBorders>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p>
        </w:tc>
        <w:tc>
          <w:tcPr>
            <w:tcW w:w="55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74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4"/>
                <w:szCs w:val="24"/>
              </w:rPr>
            </w:pPr>
          </w:p>
        </w:tc>
      </w:tr>
      <w:tr>
        <w:tblPrEx>
          <w:tblLayout w:type="fixed"/>
          <w:tblCellMar>
            <w:top w:w="15" w:type="dxa"/>
            <w:left w:w="108" w:type="dxa"/>
            <w:bottom w:w="15" w:type="dxa"/>
            <w:right w:w="108" w:type="dxa"/>
          </w:tblCellMar>
        </w:tblPrEx>
        <w:trPr>
          <w:trHeight w:val="585" w:hRule="atLeast"/>
        </w:trPr>
        <w:tc>
          <w:tcPr>
            <w:tcW w:w="1836" w:type="dxa"/>
            <w:tcBorders>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p>
        </w:tc>
        <w:tc>
          <w:tcPr>
            <w:tcW w:w="551" w:type="dxa"/>
            <w:tcBorders>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p>
        </w:tc>
        <w:tc>
          <w:tcPr>
            <w:tcW w:w="55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74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4"/>
                <w:szCs w:val="24"/>
              </w:rPr>
            </w:pPr>
          </w:p>
        </w:tc>
      </w:tr>
      <w:tr>
        <w:tblPrEx>
          <w:tblLayout w:type="fixed"/>
          <w:tblCellMar>
            <w:top w:w="15" w:type="dxa"/>
            <w:left w:w="108" w:type="dxa"/>
            <w:bottom w:w="15" w:type="dxa"/>
            <w:right w:w="108" w:type="dxa"/>
          </w:tblCellMar>
        </w:tblPrEx>
        <w:trPr>
          <w:trHeight w:val="585" w:hRule="atLeast"/>
        </w:trPr>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55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55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74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4"/>
                <w:szCs w:val="24"/>
              </w:rPr>
            </w:pPr>
          </w:p>
        </w:tc>
      </w:tr>
    </w:tbl>
    <w:p>
      <w:pPr>
        <w:rPr>
          <w:rFonts w:asciiTheme="minorEastAsia" w:hAnsiTheme="minorEastAsia"/>
          <w:szCs w:val="21"/>
        </w:rPr>
      </w:pPr>
    </w:p>
    <w:sectPr>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6F1B"/>
    <w:multiLevelType w:val="multilevel"/>
    <w:tmpl w:val="00C76F1B"/>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B84"/>
    <w:rsid w:val="00045CA9"/>
    <w:rsid w:val="00090192"/>
    <w:rsid w:val="001E19CB"/>
    <w:rsid w:val="0025440E"/>
    <w:rsid w:val="003440BC"/>
    <w:rsid w:val="003B4A10"/>
    <w:rsid w:val="003C660E"/>
    <w:rsid w:val="003D364D"/>
    <w:rsid w:val="004C6E0E"/>
    <w:rsid w:val="00596F1C"/>
    <w:rsid w:val="005C45A5"/>
    <w:rsid w:val="0063038D"/>
    <w:rsid w:val="00774659"/>
    <w:rsid w:val="007842DC"/>
    <w:rsid w:val="007C5F81"/>
    <w:rsid w:val="007E2455"/>
    <w:rsid w:val="00806F76"/>
    <w:rsid w:val="008235CA"/>
    <w:rsid w:val="00864D51"/>
    <w:rsid w:val="00A46C5F"/>
    <w:rsid w:val="00AE05FE"/>
    <w:rsid w:val="00B86C5F"/>
    <w:rsid w:val="00C43482"/>
    <w:rsid w:val="00D65B84"/>
    <w:rsid w:val="00D81612"/>
    <w:rsid w:val="00E1488F"/>
    <w:rsid w:val="00E45144"/>
    <w:rsid w:val="00E60E5F"/>
    <w:rsid w:val="4A5A0CDF"/>
    <w:rsid w:val="5624337B"/>
    <w:rsid w:val="77FD7083"/>
    <w:rsid w:val="79C33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
    <w:name w:val="List Paragraph"/>
    <w:basedOn w:val="1"/>
    <w:qFormat/>
    <w:uiPriority w:val="34"/>
    <w:pPr>
      <w:ind w:firstLine="420" w:firstLineChars="200"/>
    </w:pPr>
  </w:style>
  <w:style w:type="paragraph" w:customStyle="1" w:styleId="7">
    <w:name w:val="p17"/>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9CF226-00BB-43C6-BF80-BB800E7B4FE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4716</Words>
  <Characters>6039</Characters>
  <Lines>50</Lines>
  <Paragraphs>14</Paragraphs>
  <TotalTime>17</TotalTime>
  <ScaleCrop>false</ScaleCrop>
  <LinksUpToDate>false</LinksUpToDate>
  <CharactersWithSpaces>6234</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2018-04-04T09:45:00Z</dcterms:created>
  <dc:creator>Administrator</dc:creator>
  <cp:lastModifiedBy>kjj5</cp:lastModifiedBy>
  <cp:lastPrinted>2018-04-07T03:31:28Z</cp:lastPrinted>
  <dcterms:modified xsi:type="dcterms:W3CDTF">2018-04-07T04:15:22Z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