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rFonts w:ascii="Arial" w:hAnsi="Arial" w:eastAsia="Arial" w:cs="Arial"/>
          <w:b w:val="0"/>
          <w:i w:val="0"/>
          <w:caps w:val="0"/>
          <w:color w:val="333333"/>
          <w:spacing w:val="0"/>
          <w:sz w:val="21"/>
          <w:szCs w:val="21"/>
          <w:u w:val="none"/>
        </w:rPr>
      </w:pPr>
      <w:r>
        <w:rPr>
          <w:rFonts w:ascii="方正小标宋简体" w:hAnsi="方正小标宋简体" w:eastAsia="方正小标宋简体" w:cs="方正小标宋简体"/>
          <w:b w:val="0"/>
          <w:i w:val="0"/>
          <w:caps w:val="0"/>
          <w:color w:val="333333"/>
          <w:spacing w:val="0"/>
          <w:kern w:val="0"/>
          <w:sz w:val="44"/>
          <w:szCs w:val="44"/>
          <w:u w:val="none"/>
          <w:bdr w:val="none" w:color="auto" w:sz="0" w:space="0"/>
          <w:lang w:val="en-US" w:eastAsia="zh-CN" w:bidi="ar"/>
        </w:rPr>
        <w:t>目</w:t>
      </w:r>
      <w:r>
        <w:rPr>
          <w:rFonts w:hint="eastAsia" w:ascii="宋体" w:hAnsi="宋体" w:eastAsia="宋体" w:cs="宋体"/>
          <w:b w:val="0"/>
          <w:i w:val="0"/>
          <w:caps w:val="0"/>
          <w:color w:val="333333"/>
          <w:spacing w:val="0"/>
          <w:kern w:val="0"/>
          <w:sz w:val="44"/>
          <w:szCs w:val="44"/>
          <w:u w:val="none"/>
          <w:bdr w:val="none" w:color="auto" w:sz="0" w:space="0"/>
          <w:lang w:val="en-US" w:eastAsia="zh-CN" w:bidi="ar"/>
        </w:rPr>
        <w:t> 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rFonts w:hint="default" w:ascii="Arial" w:hAnsi="Arial" w:eastAsia="Arial" w:cs="Arial"/>
          <w:b w:val="0"/>
          <w:i w:val="0"/>
          <w:caps w:val="0"/>
          <w:color w:val="333333"/>
          <w:spacing w:val="0"/>
          <w:sz w:val="21"/>
          <w:szCs w:val="21"/>
          <w:u w:val="none"/>
        </w:rPr>
      </w:pPr>
      <w:r>
        <w:rPr>
          <w:rFonts w:ascii="黑体" w:hAnsi="Arial" w:eastAsia="黑体" w:cs="黑体"/>
          <w:b w:val="0"/>
          <w:i w:val="0"/>
          <w:caps w:val="0"/>
          <w:color w:val="333333"/>
          <w:spacing w:val="0"/>
          <w:kern w:val="0"/>
          <w:sz w:val="44"/>
          <w:szCs w:val="44"/>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第一部分  县突发事件预警信息发布中心概况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ascii="仿宋_GB2312" w:hAnsi="宋体" w:eastAsia="仿宋_GB2312" w:cs="仿宋_GB2312"/>
          <w:b w:val="0"/>
          <w:i w:val="0"/>
          <w:caps w:val="0"/>
          <w:color w:val="333333"/>
          <w:spacing w:val="0"/>
          <w:kern w:val="0"/>
          <w:sz w:val="32"/>
          <w:szCs w:val="32"/>
          <w:u w:val="none"/>
          <w:bdr w:val="none" w:color="auto" w:sz="0" w:space="0"/>
          <w:lang w:val="en-US" w:eastAsia="zh-CN" w:bidi="ar"/>
        </w:rPr>
        <w:t>一、</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主要职责</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二、</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机构设置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第二部分  2018年部门预算表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一、</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收支总体情况表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二、</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收入总体情况表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三、</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支出总体情况表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四、</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财政拨款收支总体情况表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五、</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一般公共预算支出情况表（按功能分类科目）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六、</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一般公共预算基本支出情况表（按支出经济分类科目）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七、</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一般公共预算项目支出情况表（按支出经济分类科目）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八、</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一般公共预算安排的行政经费及“三公”经费预算表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九、</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政府性基金预算支出情况表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十、</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部门预算基本支出预算表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十一、</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部门预算项目支出及其他支出预算表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第三部分 2018年部门预算情况说明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第四部分  名词解释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rFonts w:hint="default" w:ascii="Arial" w:hAnsi="Arial" w:eastAsia="Arial" w:cs="Arial"/>
          <w:b w:val="0"/>
          <w:i w:val="0"/>
          <w:caps w:val="0"/>
          <w:color w:val="333333"/>
          <w:spacing w:val="0"/>
          <w:sz w:val="21"/>
          <w:szCs w:val="21"/>
          <w:u w:val="none"/>
        </w:rPr>
      </w:pPr>
      <w:r>
        <w:rPr>
          <w:rFonts w:hint="default" w:ascii="方正小标宋简体" w:hAnsi="方正小标宋简体" w:eastAsia="方正小标宋简体" w:cs="方正小标宋简体"/>
          <w:b w:val="0"/>
          <w:i w:val="0"/>
          <w:caps w:val="0"/>
          <w:color w:val="333333"/>
          <w:spacing w:val="0"/>
          <w:kern w:val="0"/>
          <w:sz w:val="84"/>
          <w:szCs w:val="84"/>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rFonts w:hint="default" w:ascii="Arial" w:hAnsi="Arial" w:eastAsia="Arial" w:cs="Arial"/>
          <w:b w:val="0"/>
          <w:i w:val="0"/>
          <w:caps w:val="0"/>
          <w:color w:val="333333"/>
          <w:spacing w:val="0"/>
          <w:sz w:val="21"/>
          <w:szCs w:val="21"/>
          <w:u w:val="none"/>
        </w:rPr>
      </w:pPr>
      <w:r>
        <w:rPr>
          <w:rFonts w:hint="default" w:ascii="方正小标宋简体" w:hAnsi="方正小标宋简体" w:eastAsia="方正小标宋简体" w:cs="方正小标宋简体"/>
          <w:b/>
          <w:i w:val="0"/>
          <w:caps w:val="0"/>
          <w:color w:val="333333"/>
          <w:spacing w:val="0"/>
          <w:kern w:val="0"/>
          <w:sz w:val="44"/>
          <w:szCs w:val="44"/>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rFonts w:hint="default" w:ascii="Arial" w:hAnsi="Arial" w:eastAsia="Arial" w:cs="Arial"/>
          <w:b w:val="0"/>
          <w:i w:val="0"/>
          <w:caps w:val="0"/>
          <w:color w:val="333333"/>
          <w:spacing w:val="0"/>
          <w:sz w:val="21"/>
          <w:szCs w:val="21"/>
          <w:u w:val="none"/>
        </w:rPr>
      </w:pPr>
      <w:r>
        <w:rPr>
          <w:rFonts w:hint="default" w:ascii="方正小标宋简体" w:hAnsi="方正小标宋简体" w:eastAsia="方正小标宋简体" w:cs="方正小标宋简体"/>
          <w:b/>
          <w:i w:val="0"/>
          <w:caps w:val="0"/>
          <w:color w:val="333333"/>
          <w:spacing w:val="0"/>
          <w:kern w:val="0"/>
          <w:sz w:val="44"/>
          <w:szCs w:val="44"/>
          <w:u w:val="none"/>
          <w:bdr w:val="none" w:color="auto" w:sz="0" w:space="0"/>
          <w:lang w:val="en-US" w:eastAsia="zh-CN" w:bidi="ar"/>
        </w:rPr>
        <w:t>第一部分 县突发事件预警信息发布中心概况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00" w:lineRule="atLeast"/>
        <w:ind w:left="0" w:right="0" w:firstLine="0"/>
        <w:jc w:val="center"/>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11"/>
        <w:jc w:val="both"/>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一、 部门基本情况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11"/>
        <w:jc w:val="both"/>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1、部门职责：</w:t>
      </w: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惠来县突发事件预警信息发布中心，于2013年10月经县机构编制委员会批复同意设立，为公益一类正股级事业单位，委托县气象局管理，主要工作任务：承担县突发事件预警信息发布的组织、实施和管理，突发事件预警信息发布系统的建设和运维工作，应急科普宣传、教育工作及县政府应急管理部门交办的其他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11"/>
        <w:jc w:val="both"/>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2、机构设置：</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惠来县突发事件预警信息发布中心，核定事业编制15名（先到位8名），其中配主任1名，副主任2名。人员经费由县财政按财政补助一类拨付。未设立内设机构。</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11"/>
        <w:jc w:val="both"/>
        <w:rPr>
          <w:rFonts w:hint="default" w:ascii="Arial" w:hAnsi="Arial" w:eastAsia="Arial" w:cs="Arial"/>
          <w:b w:val="0"/>
          <w:i w:val="0"/>
          <w:caps w:val="0"/>
          <w:color w:val="333333"/>
          <w:spacing w:val="0"/>
          <w:sz w:val="21"/>
          <w:szCs w:val="21"/>
          <w:u w:val="none"/>
        </w:rPr>
      </w:pPr>
      <w:r>
        <w:rPr>
          <w:rFonts w:hint="default" w:ascii="Arial" w:hAnsi="Arial" w:eastAsia="Arial" w:cs="Arial"/>
          <w:b w:val="0"/>
          <w:i w:val="0"/>
          <w:caps w:val="0"/>
          <w:color w:val="333333"/>
          <w:spacing w:val="0"/>
          <w:kern w:val="0"/>
          <w:sz w:val="21"/>
          <w:szCs w:val="21"/>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sz w:val="21"/>
          <w:szCs w:val="21"/>
          <w:u w:val="none"/>
        </w:rPr>
      </w:pPr>
      <w:r>
        <w:rPr>
          <w:rFonts w:hint="default" w:ascii="方正小标宋简体" w:hAnsi="方正小标宋简体" w:eastAsia="方正小标宋简体" w:cs="方正小标宋简体"/>
          <w:b/>
          <w:i w:val="0"/>
          <w:caps w:val="0"/>
          <w:color w:val="333333"/>
          <w:spacing w:val="0"/>
          <w:kern w:val="0"/>
          <w:sz w:val="44"/>
          <w:szCs w:val="44"/>
          <w:u w:val="none"/>
          <w:bdr w:val="none" w:color="auto" w:sz="0" w:space="0"/>
          <w:lang w:val="en-US" w:eastAsia="zh-CN" w:bidi="ar"/>
        </w:rPr>
        <w:t>第二部分 </w:t>
      </w:r>
      <w:r>
        <w:rPr>
          <w:rFonts w:hint="eastAsia" w:ascii="宋体" w:hAnsi="宋体" w:eastAsia="宋体" w:cs="宋体"/>
          <w:b/>
          <w:i w:val="0"/>
          <w:caps w:val="0"/>
          <w:color w:val="333333"/>
          <w:spacing w:val="0"/>
          <w:kern w:val="0"/>
          <w:sz w:val="44"/>
          <w:szCs w:val="44"/>
          <w:u w:val="none"/>
          <w:bdr w:val="none" w:color="auto" w:sz="0" w:space="0"/>
          <w:lang w:val="en-US" w:eastAsia="zh-CN" w:bidi="ar"/>
        </w:rPr>
        <w:t> 2018年部门预算表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sz w:val="21"/>
          <w:szCs w:val="21"/>
          <w:u w:val="none"/>
        </w:rPr>
      </w:pPr>
      <w:r>
        <w:rPr>
          <w:rFonts w:hint="eastAsia" w:ascii="宋体" w:hAnsi="宋体" w:eastAsia="宋体" w:cs="宋体"/>
          <w:b w:val="0"/>
          <w:i w:val="0"/>
          <w:caps w:val="0"/>
          <w:color w:val="333333"/>
          <w:spacing w:val="0"/>
          <w:kern w:val="0"/>
          <w:sz w:val="21"/>
          <w:szCs w:val="21"/>
          <w:u w:val="none"/>
          <w:bdr w:val="none" w:color="auto" w:sz="0" w:space="0"/>
          <w:lang w:val="en-US" w:eastAsia="zh-CN" w:bidi="ar"/>
        </w:rPr>
        <w:t> </w:t>
      </w:r>
    </w:p>
    <w:p>
      <w:pPr>
        <w:keepNext w:val="0"/>
        <w:keepLines w:val="0"/>
        <w:widowControl/>
        <w:suppressLineNumbers w:val="0"/>
        <w:jc w:val="left"/>
      </w:pP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657350" cy="1247775"/>
            <wp:effectExtent l="0" t="0" r="0" b="9525"/>
            <wp:docPr id="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IMG_256"/>
                    <pic:cNvPicPr>
                      <a:picLocks noChangeAspect="1"/>
                    </pic:cNvPicPr>
                  </pic:nvPicPr>
                  <pic:blipFill>
                    <a:blip r:embed="rId4"/>
                    <a:stretch>
                      <a:fillRect/>
                    </a:stretch>
                  </pic:blipFill>
                  <pic:spPr>
                    <a:xfrm>
                      <a:off x="0" y="0"/>
                      <a:ext cx="1657350" cy="1247775"/>
                    </a:xfrm>
                    <a:prstGeom prst="rect">
                      <a:avLst/>
                    </a:prstGeom>
                    <a:noFill/>
                    <a:ln w="9525">
                      <a:noFill/>
                    </a:ln>
                  </pic:spPr>
                </pic:pic>
              </a:graphicData>
            </a:graphic>
          </wp:inline>
        </w:drawing>
      </w: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657350" cy="1247775"/>
            <wp:effectExtent l="0" t="0" r="0" b="952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1657350" cy="1247775"/>
                    </a:xfrm>
                    <a:prstGeom prst="rect">
                      <a:avLst/>
                    </a:prstGeom>
                    <a:noFill/>
                    <a:ln w="9525">
                      <a:noFill/>
                    </a:ln>
                  </pic:spPr>
                </pic:pic>
              </a:graphicData>
            </a:graphic>
          </wp:inline>
        </w:drawing>
      </w: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247775" cy="1657350"/>
            <wp:effectExtent l="0" t="0" r="9525" b="0"/>
            <wp:docPr id="2"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6"/>
                    <a:stretch>
                      <a:fillRect/>
                    </a:stretch>
                  </pic:blipFill>
                  <pic:spPr>
                    <a:xfrm>
                      <a:off x="0" y="0"/>
                      <a:ext cx="1247775" cy="1657350"/>
                    </a:xfrm>
                    <a:prstGeom prst="rect">
                      <a:avLst/>
                    </a:prstGeom>
                    <a:noFill/>
                    <a:ln w="9525">
                      <a:noFill/>
                    </a:ln>
                  </pic:spPr>
                </pic:pic>
              </a:graphicData>
            </a:graphic>
          </wp:inline>
        </w:drawing>
      </w: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657350" cy="1247775"/>
            <wp:effectExtent l="0" t="0" r="0" b="9525"/>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1657350" cy="1247775"/>
                    </a:xfrm>
                    <a:prstGeom prst="rect">
                      <a:avLst/>
                    </a:prstGeom>
                    <a:noFill/>
                    <a:ln w="9525">
                      <a:noFill/>
                    </a:ln>
                  </pic:spPr>
                </pic:pic>
              </a:graphicData>
            </a:graphic>
          </wp:inline>
        </w:drawing>
      </w: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247775" cy="1657350"/>
            <wp:effectExtent l="0" t="0" r="9525"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1247775" cy="1657350"/>
                    </a:xfrm>
                    <a:prstGeom prst="rect">
                      <a:avLst/>
                    </a:prstGeom>
                    <a:noFill/>
                    <a:ln w="9525">
                      <a:noFill/>
                    </a:ln>
                  </pic:spPr>
                </pic:pic>
              </a:graphicData>
            </a:graphic>
          </wp:inline>
        </w:drawing>
      </w: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247775" cy="1657350"/>
            <wp:effectExtent l="0" t="0" r="9525" b="0"/>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9"/>
                    <a:stretch>
                      <a:fillRect/>
                    </a:stretch>
                  </pic:blipFill>
                  <pic:spPr>
                    <a:xfrm>
                      <a:off x="0" y="0"/>
                      <a:ext cx="1247775" cy="1657350"/>
                    </a:xfrm>
                    <a:prstGeom prst="rect">
                      <a:avLst/>
                    </a:prstGeom>
                    <a:noFill/>
                    <a:ln w="9525">
                      <a:noFill/>
                    </a:ln>
                  </pic:spPr>
                </pic:pic>
              </a:graphicData>
            </a:graphic>
          </wp:inline>
        </w:drawing>
      </w: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181100" cy="1647825"/>
            <wp:effectExtent l="0" t="0" r="0"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1181100" cy="1647825"/>
                    </a:xfrm>
                    <a:prstGeom prst="rect">
                      <a:avLst/>
                    </a:prstGeom>
                    <a:noFill/>
                    <a:ln w="9525">
                      <a:noFill/>
                    </a:ln>
                  </pic:spPr>
                </pic:pic>
              </a:graphicData>
            </a:graphic>
          </wp:inline>
        </w:drawing>
      </w: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247775" cy="1657350"/>
            <wp:effectExtent l="0" t="0" r="9525" b="0"/>
            <wp:docPr id="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IMG_263"/>
                    <pic:cNvPicPr>
                      <a:picLocks noChangeAspect="1"/>
                    </pic:cNvPicPr>
                  </pic:nvPicPr>
                  <pic:blipFill>
                    <a:blip r:embed="rId11"/>
                    <a:stretch>
                      <a:fillRect/>
                    </a:stretch>
                  </pic:blipFill>
                  <pic:spPr>
                    <a:xfrm>
                      <a:off x="0" y="0"/>
                      <a:ext cx="1247775" cy="1657350"/>
                    </a:xfrm>
                    <a:prstGeom prst="rect">
                      <a:avLst/>
                    </a:prstGeom>
                    <a:noFill/>
                    <a:ln w="9525">
                      <a:noFill/>
                    </a:ln>
                  </pic:spPr>
                </pic:pic>
              </a:graphicData>
            </a:graphic>
          </wp:inline>
        </w:drawing>
      </w: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247775" cy="1657350"/>
            <wp:effectExtent l="0" t="0" r="9525"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1247775" cy="1657350"/>
                    </a:xfrm>
                    <a:prstGeom prst="rect">
                      <a:avLst/>
                    </a:prstGeom>
                    <a:noFill/>
                    <a:ln w="9525">
                      <a:noFill/>
                    </a:ln>
                  </pic:spPr>
                </pic:pic>
              </a:graphicData>
            </a:graphic>
          </wp:inline>
        </w:drawing>
      </w: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657350" cy="1247775"/>
            <wp:effectExtent l="0" t="0" r="0" b="9525"/>
            <wp:docPr id="1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65"/>
                    <pic:cNvPicPr>
                      <a:picLocks noChangeAspect="1"/>
                    </pic:cNvPicPr>
                  </pic:nvPicPr>
                  <pic:blipFill>
                    <a:blip r:embed="rId13"/>
                    <a:stretch>
                      <a:fillRect/>
                    </a:stretch>
                  </pic:blipFill>
                  <pic:spPr>
                    <a:xfrm>
                      <a:off x="0" y="0"/>
                      <a:ext cx="1657350" cy="12477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left"/>
        <w:rPr>
          <w:rFonts w:hint="default" w:ascii="Arial" w:hAnsi="Arial" w:eastAsia="Arial" w:cs="Arial"/>
          <w:b w:val="0"/>
          <w:i w:val="0"/>
          <w:caps w:val="0"/>
          <w:color w:val="333333"/>
          <w:spacing w:val="0"/>
          <w:sz w:val="21"/>
          <w:szCs w:val="21"/>
          <w:u w:val="none"/>
        </w:rPr>
      </w:pPr>
    </w:p>
    <w:p>
      <w:pPr>
        <w:keepNext w:val="0"/>
        <w:keepLines w:val="0"/>
        <w:widowControl/>
        <w:suppressLineNumbers w:val="0"/>
        <w:jc w:val="left"/>
      </w:pPr>
      <w:r>
        <w:rPr>
          <w:rFonts w:hint="default" w:ascii="Arial" w:hAnsi="Arial" w:eastAsia="Arial" w:cs="Arial"/>
          <w:b w:val="0"/>
          <w:i w:val="0"/>
          <w:caps w:val="0"/>
          <w:color w:val="333333"/>
          <w:spacing w:val="0"/>
          <w:kern w:val="0"/>
          <w:sz w:val="24"/>
          <w:szCs w:val="24"/>
          <w:u w:val="none"/>
          <w:bdr w:val="none" w:color="auto" w:sz="0" w:space="0"/>
          <w:lang w:val="en-US" w:eastAsia="zh-CN" w:bidi="ar"/>
        </w:rPr>
        <w:drawing>
          <wp:inline distT="0" distB="0" distL="114300" distR="114300">
            <wp:extent cx="1666875" cy="1019175"/>
            <wp:effectExtent l="0" t="0" r="9525" b="9525"/>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4"/>
                    <a:stretch>
                      <a:fillRect/>
                    </a:stretch>
                  </pic:blipFill>
                  <pic:spPr>
                    <a:xfrm>
                      <a:off x="0" y="0"/>
                      <a:ext cx="1666875" cy="1019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left"/>
        <w:rPr>
          <w:rFonts w:hint="default" w:ascii="Arial" w:hAnsi="Arial" w:eastAsia="Arial" w:cs="Arial"/>
          <w:b w:val="0"/>
          <w:i w:val="0"/>
          <w:caps w:val="0"/>
          <w:color w:val="333333"/>
          <w:spacing w:val="0"/>
          <w:sz w:val="21"/>
          <w:szCs w:val="21"/>
          <w:u w:val="none"/>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rFonts w:hint="default" w:ascii="Arial" w:hAnsi="Arial" w:eastAsia="Arial" w:cs="Arial"/>
          <w:b w:val="0"/>
          <w:i w:val="0"/>
          <w:caps w:val="0"/>
          <w:color w:val="333333"/>
          <w:spacing w:val="0"/>
          <w:sz w:val="21"/>
          <w:szCs w:val="21"/>
          <w:u w:val="none"/>
        </w:rPr>
      </w:pPr>
      <w:r>
        <w:rPr>
          <w:rFonts w:hint="default" w:ascii="方正小标宋简体" w:hAnsi="方正小标宋简体" w:eastAsia="方正小标宋简体" w:cs="方正小标宋简体"/>
          <w:b/>
          <w:i w:val="0"/>
          <w:caps w:val="0"/>
          <w:color w:val="333333"/>
          <w:spacing w:val="0"/>
          <w:kern w:val="0"/>
          <w:sz w:val="44"/>
          <w:szCs w:val="44"/>
          <w:u w:val="none"/>
          <w:bdr w:val="none" w:color="auto" w:sz="0" w:space="0"/>
          <w:lang w:val="en-US" w:eastAsia="zh-CN" w:bidi="ar"/>
        </w:rPr>
        <w:drawing>
          <wp:inline distT="0" distB="0" distL="114300" distR="114300">
            <wp:extent cx="1666875" cy="1028700"/>
            <wp:effectExtent l="0" t="0" r="9525"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1666875" cy="10287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rFonts w:hint="default" w:ascii="Arial" w:hAnsi="Arial" w:eastAsia="Arial" w:cs="Arial"/>
          <w:b w:val="0"/>
          <w:i w:val="0"/>
          <w:caps w:val="0"/>
          <w:color w:val="333333"/>
          <w:spacing w:val="0"/>
          <w:sz w:val="21"/>
          <w:szCs w:val="21"/>
          <w:u w:val="none"/>
        </w:rPr>
      </w:pPr>
      <w:r>
        <w:rPr>
          <w:rFonts w:hint="default" w:ascii="方正小标宋简体" w:hAnsi="方正小标宋简体" w:eastAsia="方正小标宋简体" w:cs="方正小标宋简体"/>
          <w:b/>
          <w:i w:val="0"/>
          <w:caps w:val="0"/>
          <w:color w:val="333333"/>
          <w:spacing w:val="0"/>
          <w:kern w:val="0"/>
          <w:sz w:val="44"/>
          <w:szCs w:val="44"/>
          <w:u w:val="none"/>
          <w:bdr w:val="none" w:color="auto" w:sz="0" w:space="0"/>
          <w:lang w:val="en-US" w:eastAsia="zh-CN" w:bidi="ar"/>
        </w:rPr>
        <w:t>第二部分 </w:t>
      </w:r>
      <w:r>
        <w:rPr>
          <w:rFonts w:hint="eastAsia" w:ascii="宋体" w:hAnsi="宋体" w:eastAsia="宋体" w:cs="宋体"/>
          <w:b/>
          <w:i w:val="0"/>
          <w:caps w:val="0"/>
          <w:color w:val="333333"/>
          <w:spacing w:val="0"/>
          <w:kern w:val="0"/>
          <w:sz w:val="44"/>
          <w:szCs w:val="44"/>
          <w:u w:val="none"/>
          <w:bdr w:val="none" w:color="auto" w:sz="0" w:space="0"/>
          <w:lang w:val="en-US" w:eastAsia="zh-CN" w:bidi="ar"/>
        </w:rPr>
        <w:t>2018年部门预算情况说明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both"/>
        <w:rPr>
          <w:rFonts w:hint="default" w:ascii="Arial" w:hAnsi="Arial" w:eastAsia="Arial" w:cs="Arial"/>
          <w:b w:val="0"/>
          <w:i w:val="0"/>
          <w:caps w:val="0"/>
          <w:color w:val="333333"/>
          <w:spacing w:val="0"/>
          <w:sz w:val="21"/>
          <w:szCs w:val="21"/>
          <w:u w:val="none"/>
        </w:rPr>
      </w:pPr>
      <w:r>
        <w:rPr>
          <w:rFonts w:hint="default" w:ascii="方正小标宋简体" w:hAnsi="方正小标宋简体" w:eastAsia="方正小标宋简体" w:cs="方正小标宋简体"/>
          <w:b/>
          <w:i w:val="0"/>
          <w:caps w:val="0"/>
          <w:color w:val="333333"/>
          <w:spacing w:val="0"/>
          <w:kern w:val="0"/>
          <w:sz w:val="44"/>
          <w:szCs w:val="44"/>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一、部门预算收支增减变化情况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2018</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年本部门收入预算</w:t>
      </w:r>
      <w:r>
        <w:rPr>
          <w:rFonts w:hint="eastAsia" w:ascii="宋体" w:hAnsi="宋体" w:eastAsia="宋体" w:cs="宋体"/>
          <w:b w:val="0"/>
          <w:i w:val="0"/>
          <w:caps w:val="0"/>
          <w:color w:val="333333"/>
          <w:spacing w:val="0"/>
          <w:kern w:val="0"/>
          <w:sz w:val="28"/>
          <w:szCs w:val="28"/>
          <w:u w:val="none"/>
          <w:bdr w:val="none" w:color="auto" w:sz="0" w:space="0"/>
          <w:lang w:val="en-US" w:eastAsia="zh-CN" w:bidi="ar"/>
        </w:rPr>
        <w:t>49.28</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万元，其中，一般公共预算</w:t>
      </w:r>
      <w:r>
        <w:rPr>
          <w:rFonts w:hint="eastAsia" w:ascii="宋体" w:hAnsi="宋体" w:eastAsia="宋体" w:cs="宋体"/>
          <w:b w:val="0"/>
          <w:i w:val="0"/>
          <w:caps w:val="0"/>
          <w:color w:val="333333"/>
          <w:spacing w:val="0"/>
          <w:kern w:val="0"/>
          <w:sz w:val="28"/>
          <w:szCs w:val="28"/>
          <w:u w:val="none"/>
          <w:bdr w:val="none" w:color="auto" w:sz="0" w:space="0"/>
          <w:lang w:val="en-US" w:eastAsia="zh-CN" w:bidi="ar"/>
        </w:rPr>
        <w:t>49.28</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万元，与上一年度预算收入相比增加20.54万元；年度支出预算</w:t>
      </w:r>
      <w:r>
        <w:rPr>
          <w:rFonts w:hint="eastAsia" w:ascii="宋体" w:hAnsi="宋体" w:eastAsia="宋体" w:cs="宋体"/>
          <w:b w:val="0"/>
          <w:i w:val="0"/>
          <w:caps w:val="0"/>
          <w:color w:val="333333"/>
          <w:spacing w:val="0"/>
          <w:kern w:val="0"/>
          <w:sz w:val="28"/>
          <w:szCs w:val="28"/>
          <w:u w:val="none"/>
          <w:bdr w:val="none" w:color="auto" w:sz="0" w:space="0"/>
          <w:lang w:val="en-US" w:eastAsia="zh-CN" w:bidi="ar"/>
        </w:rPr>
        <w:t>49.28</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万元，</w:t>
      </w:r>
      <w:r>
        <w:rPr>
          <w:rFonts w:hint="eastAsia" w:ascii="宋体" w:hAnsi="宋体" w:eastAsia="宋体" w:cs="宋体"/>
          <w:b w:val="0"/>
          <w:i w:val="0"/>
          <w:caps w:val="0"/>
          <w:color w:val="333333"/>
          <w:spacing w:val="0"/>
          <w:kern w:val="0"/>
          <w:sz w:val="36"/>
          <w:szCs w:val="36"/>
          <w:u w:val="none"/>
          <w:bdr w:val="none" w:color="auto" w:sz="0" w:space="0"/>
          <w:lang w:val="en-US" w:eastAsia="zh-CN" w:bidi="ar"/>
        </w:rPr>
        <w:t>其中，工资福利支出</w:t>
      </w:r>
      <w:r>
        <w:rPr>
          <w:rFonts w:hint="eastAsia" w:ascii="宋体" w:hAnsi="宋体" w:eastAsia="宋体" w:cs="宋体"/>
          <w:b w:val="0"/>
          <w:i w:val="0"/>
          <w:caps w:val="0"/>
          <w:color w:val="333333"/>
          <w:spacing w:val="0"/>
          <w:kern w:val="0"/>
          <w:sz w:val="28"/>
          <w:szCs w:val="28"/>
          <w:u w:val="none"/>
          <w:bdr w:val="none" w:color="auto" w:sz="0" w:space="0"/>
          <w:lang w:val="en-US" w:eastAsia="zh-CN" w:bidi="ar"/>
        </w:rPr>
        <w:t>48.08万元，住房公积金3.60万元，商品和服务支出1.2万元。与上一年度预算收入相比增长42%，主要用于新进人员工资福利和已在岗人员工资正常增长。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default" w:ascii="Arial" w:hAnsi="Arial" w:eastAsia="Arial" w:cs="Arial"/>
          <w:b w:val="0"/>
          <w:i w:val="0"/>
          <w:caps w:val="0"/>
          <w:color w:val="333333"/>
          <w:spacing w:val="0"/>
          <w:kern w:val="0"/>
          <w:sz w:val="21"/>
          <w:szCs w:val="21"/>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二、“三公”经费安排情况说明</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本年度县财政无下达本部门的一般公共预算财政拨款“三公”经费指标。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default" w:ascii="Arial" w:hAnsi="Arial" w:eastAsia="Arial" w:cs="Arial"/>
          <w:b w:val="0"/>
          <w:i w:val="0"/>
          <w:caps w:val="0"/>
          <w:color w:val="333333"/>
          <w:spacing w:val="0"/>
          <w:kern w:val="0"/>
          <w:sz w:val="21"/>
          <w:szCs w:val="21"/>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三、机关运行经费安排情况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2018</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年，本部门机关运行经费安排1.2万元，其中：办公费1.2万元。比上年增加0.48万元，主要原因是新进人员和工资福利正常增长。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default" w:ascii="Arial" w:hAnsi="Arial" w:eastAsia="Arial" w:cs="Arial"/>
          <w:b w:val="0"/>
          <w:i w:val="0"/>
          <w:caps w:val="0"/>
          <w:color w:val="333333"/>
          <w:spacing w:val="0"/>
          <w:kern w:val="0"/>
          <w:sz w:val="21"/>
          <w:szCs w:val="21"/>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四、政府采购情况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   </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 本年度部门无政府采购预算。</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default" w:ascii="Arial" w:hAnsi="Arial" w:eastAsia="Arial" w:cs="Arial"/>
          <w:b w:val="0"/>
          <w:i w:val="0"/>
          <w:caps w:val="0"/>
          <w:color w:val="333333"/>
          <w:spacing w:val="0"/>
          <w:kern w:val="0"/>
          <w:sz w:val="21"/>
          <w:szCs w:val="21"/>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五、国有资产占有使用情况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截至</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2017年12月31日，本部门均未有名下资产，所有在用固定资产产权均属惠来县气象局提供。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黑体" w:hAnsi="Arial" w:eastAsia="黑体" w:cs="黑体"/>
          <w:b w:val="0"/>
          <w:i w:val="0"/>
          <w:caps w:val="0"/>
          <w:color w:val="333333"/>
          <w:spacing w:val="0"/>
          <w:kern w:val="0"/>
          <w:sz w:val="32"/>
          <w:szCs w:val="32"/>
          <w:u w:val="none"/>
          <w:bdr w:val="none" w:color="auto" w:sz="0" w:space="0"/>
          <w:lang w:val="en-US" w:eastAsia="zh-CN" w:bidi="ar"/>
        </w:rPr>
        <w:t>六、预算绩效信息公开情况</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32"/>
          <w:szCs w:val="32"/>
          <w:u w:val="none"/>
          <w:bdr w:val="none" w:color="auto" w:sz="0" w:space="0"/>
          <w:lang w:val="en-US" w:eastAsia="zh-CN" w:bidi="ar"/>
        </w:rPr>
        <w:t>2017</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年，本部门按照县财政部门的统一部署，及时推进预算绩效信息公开的有关工作。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宋体" w:hAnsi="宋体" w:eastAsia="宋体" w:cs="宋体"/>
          <w:b w:val="0"/>
          <w:i w:val="0"/>
          <w:caps w:val="0"/>
          <w:color w:val="333333"/>
          <w:spacing w:val="0"/>
          <w:kern w:val="0"/>
          <w:sz w:val="32"/>
          <w:szCs w:val="32"/>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rFonts w:hint="default" w:ascii="Arial" w:hAnsi="Arial" w:eastAsia="Arial" w:cs="Arial"/>
          <w:b w:val="0"/>
          <w:i w:val="0"/>
          <w:caps w:val="0"/>
          <w:color w:val="333333"/>
          <w:spacing w:val="0"/>
          <w:sz w:val="21"/>
          <w:szCs w:val="21"/>
          <w:u w:val="none"/>
        </w:rPr>
      </w:pPr>
      <w:r>
        <w:rPr>
          <w:rFonts w:hint="default" w:ascii="方正小标宋简体" w:hAnsi="方正小标宋简体" w:eastAsia="方正小标宋简体" w:cs="方正小标宋简体"/>
          <w:b/>
          <w:i w:val="0"/>
          <w:caps w:val="0"/>
          <w:color w:val="333333"/>
          <w:spacing w:val="0"/>
          <w:kern w:val="0"/>
          <w:sz w:val="44"/>
          <w:szCs w:val="44"/>
          <w:u w:val="none"/>
          <w:bdr w:val="none" w:color="auto" w:sz="0" w:space="0"/>
          <w:lang w:val="en-US" w:eastAsia="zh-CN" w:bidi="ar"/>
        </w:rPr>
        <w:t>第四部分 </w:t>
      </w:r>
      <w:r>
        <w:rPr>
          <w:rFonts w:hint="eastAsia" w:ascii="宋体" w:hAnsi="宋体" w:eastAsia="宋体" w:cs="宋体"/>
          <w:b/>
          <w:i w:val="0"/>
          <w:caps w:val="0"/>
          <w:color w:val="333333"/>
          <w:spacing w:val="0"/>
          <w:kern w:val="0"/>
          <w:sz w:val="44"/>
          <w:szCs w:val="44"/>
          <w:u w:val="none"/>
          <w:bdr w:val="none" w:color="auto" w:sz="0" w:space="0"/>
          <w:lang w:val="en-US" w:eastAsia="zh-CN" w:bidi="ar"/>
        </w:rPr>
        <w:t> 名词解释</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both"/>
        <w:rPr>
          <w:rFonts w:hint="default" w:ascii="Arial" w:hAnsi="Arial" w:eastAsia="Arial" w:cs="Arial"/>
          <w:b w:val="0"/>
          <w:i w:val="0"/>
          <w:caps w:val="0"/>
          <w:color w:val="333333"/>
          <w:spacing w:val="0"/>
          <w:sz w:val="21"/>
          <w:szCs w:val="21"/>
          <w:u w:val="none"/>
        </w:rPr>
      </w:pPr>
      <w:r>
        <w:rPr>
          <w:rFonts w:hint="default" w:ascii="方正小标宋简体" w:hAnsi="方正小标宋简体" w:eastAsia="方正小标宋简体" w:cs="方正小标宋简体"/>
          <w:b/>
          <w:i w:val="0"/>
          <w:caps w:val="0"/>
          <w:color w:val="333333"/>
          <w:spacing w:val="0"/>
          <w:kern w:val="0"/>
          <w:sz w:val="44"/>
          <w:szCs w:val="44"/>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0" w:right="0" w:firstLine="63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i w:val="0"/>
          <w:caps w:val="0"/>
          <w:color w:val="333333"/>
          <w:spacing w:val="0"/>
          <w:kern w:val="0"/>
          <w:sz w:val="32"/>
          <w:szCs w:val="32"/>
          <w:u w:val="none"/>
          <w:bdr w:val="none" w:color="auto" w:sz="0" w:space="0"/>
          <w:lang w:val="en-US" w:eastAsia="zh-CN" w:bidi="ar"/>
        </w:rPr>
        <w:t>一、</w:t>
      </w:r>
      <w:r>
        <w:rPr>
          <w:rFonts w:hint="eastAsia" w:ascii="宋体" w:hAnsi="宋体" w:eastAsia="宋体" w:cs="宋体"/>
          <w:b/>
          <w:i w:val="0"/>
          <w:caps w:val="0"/>
          <w:color w:val="333333"/>
          <w:spacing w:val="0"/>
          <w:kern w:val="0"/>
          <w:sz w:val="32"/>
          <w:szCs w:val="32"/>
          <w:u w:val="none"/>
          <w:bdr w:val="none" w:color="auto" w:sz="0" w:space="0"/>
          <w:lang w:val="en-US" w:eastAsia="zh-CN" w:bidi="ar"/>
        </w:rPr>
        <w:t>财政拨款收入：</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指财政当年拨付的资金事业收入。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1" w:right="0" w:firstLine="63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i w:val="0"/>
          <w:caps w:val="0"/>
          <w:color w:val="333333"/>
          <w:spacing w:val="0"/>
          <w:kern w:val="0"/>
          <w:sz w:val="32"/>
          <w:szCs w:val="32"/>
          <w:u w:val="none"/>
          <w:bdr w:val="none" w:color="auto" w:sz="0" w:space="0"/>
          <w:lang w:val="en-US" w:eastAsia="zh-CN" w:bidi="ar"/>
        </w:rPr>
        <w:t>二、年初结转和结余：</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指以前年度尚未完成、结转到本年按有关规定继续使用的资金。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1" w:right="0" w:firstLine="63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i w:val="0"/>
          <w:caps w:val="0"/>
          <w:color w:val="333333"/>
          <w:spacing w:val="0"/>
          <w:kern w:val="0"/>
          <w:sz w:val="32"/>
          <w:szCs w:val="32"/>
          <w:u w:val="none"/>
          <w:bdr w:val="none" w:color="auto" w:sz="0" w:space="0"/>
          <w:lang w:val="en-US" w:eastAsia="zh-CN" w:bidi="ar"/>
        </w:rPr>
        <w:t>三、</w:t>
      </w:r>
      <w:r>
        <w:rPr>
          <w:rFonts w:hint="eastAsia" w:ascii="宋体" w:hAnsi="宋体" w:eastAsia="宋体" w:cs="宋体"/>
          <w:b/>
          <w:i w:val="0"/>
          <w:caps w:val="0"/>
          <w:color w:val="333333"/>
          <w:spacing w:val="0"/>
          <w:kern w:val="0"/>
          <w:sz w:val="32"/>
          <w:szCs w:val="32"/>
          <w:u w:val="none"/>
          <w:bdr w:val="none" w:color="auto" w:sz="0" w:space="0"/>
          <w:lang w:val="en-US" w:eastAsia="zh-CN" w:bidi="ar"/>
        </w:rPr>
        <w:t>结余分配：</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指事业事位按规定提取的职工福利基金、事业基金和缴纳的所得税，以及建设单位按规定应交回的基本建设竣工项目结余资金。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1" w:right="0" w:firstLine="63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i w:val="0"/>
          <w:caps w:val="0"/>
          <w:color w:val="333333"/>
          <w:spacing w:val="0"/>
          <w:kern w:val="0"/>
          <w:sz w:val="32"/>
          <w:szCs w:val="32"/>
          <w:u w:val="none"/>
          <w:bdr w:val="none" w:color="auto" w:sz="0" w:space="0"/>
          <w:lang w:val="en-US" w:eastAsia="zh-CN" w:bidi="ar"/>
        </w:rPr>
        <w:t>四</w:t>
      </w:r>
      <w:r>
        <w:rPr>
          <w:rFonts w:hint="eastAsia" w:ascii="宋体" w:hAnsi="宋体" w:eastAsia="宋体" w:cs="宋体"/>
          <w:b/>
          <w:i w:val="0"/>
          <w:caps w:val="0"/>
          <w:color w:val="333333"/>
          <w:spacing w:val="0"/>
          <w:kern w:val="0"/>
          <w:sz w:val="32"/>
          <w:szCs w:val="32"/>
          <w:u w:val="none"/>
          <w:bdr w:val="none" w:color="auto" w:sz="0" w:space="0"/>
          <w:lang w:val="en-US" w:eastAsia="zh-CN" w:bidi="ar"/>
        </w:rPr>
        <w:t>、年末结转和结余：</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指本年度或以前年度预算安排、因客观条件发生变化无法按原计划实施，需要延迟到以后年度按有关规定继续使用的资金。</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1" w:right="0" w:firstLine="63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i w:val="0"/>
          <w:caps w:val="0"/>
          <w:color w:val="333333"/>
          <w:spacing w:val="0"/>
          <w:kern w:val="0"/>
          <w:sz w:val="32"/>
          <w:szCs w:val="32"/>
          <w:u w:val="none"/>
          <w:bdr w:val="none" w:color="auto" w:sz="0" w:space="0"/>
          <w:lang w:val="en-US" w:eastAsia="zh-CN" w:bidi="ar"/>
        </w:rPr>
        <w:t>五</w:t>
      </w:r>
      <w:r>
        <w:rPr>
          <w:rFonts w:hint="eastAsia" w:ascii="宋体" w:hAnsi="宋体" w:eastAsia="宋体" w:cs="宋体"/>
          <w:b/>
          <w:i w:val="0"/>
          <w:caps w:val="0"/>
          <w:color w:val="333333"/>
          <w:spacing w:val="0"/>
          <w:kern w:val="0"/>
          <w:sz w:val="32"/>
          <w:szCs w:val="32"/>
          <w:u w:val="none"/>
          <w:bdr w:val="none" w:color="auto" w:sz="0" w:space="0"/>
          <w:lang w:val="en-US" w:eastAsia="zh-CN" w:bidi="ar"/>
        </w:rPr>
        <w:t>、基本支出：</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指为保障机构正常运转、完成日常工作任务面发生的人员支出和公用支出。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1" w:right="0" w:firstLine="63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i w:val="0"/>
          <w:caps w:val="0"/>
          <w:color w:val="333333"/>
          <w:spacing w:val="0"/>
          <w:kern w:val="0"/>
          <w:sz w:val="32"/>
          <w:szCs w:val="32"/>
          <w:u w:val="none"/>
          <w:bdr w:val="none" w:color="auto" w:sz="0" w:space="0"/>
          <w:lang w:val="en-US" w:eastAsia="zh-CN" w:bidi="ar"/>
        </w:rPr>
        <w:t>六</w:t>
      </w:r>
      <w:r>
        <w:rPr>
          <w:rFonts w:hint="eastAsia" w:ascii="宋体" w:hAnsi="宋体" w:eastAsia="宋体" w:cs="宋体"/>
          <w:b/>
          <w:i w:val="0"/>
          <w:caps w:val="0"/>
          <w:color w:val="333333"/>
          <w:spacing w:val="0"/>
          <w:kern w:val="0"/>
          <w:sz w:val="32"/>
          <w:szCs w:val="32"/>
          <w:u w:val="none"/>
          <w:bdr w:val="none" w:color="auto" w:sz="0" w:space="0"/>
          <w:lang w:val="en-US" w:eastAsia="zh-CN" w:bidi="ar"/>
        </w:rPr>
        <w:t>、项目支出：</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指在基本支出这外为完成特定行政任务和事业发展目标所发生的支出。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1" w:right="0" w:firstLine="63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i w:val="0"/>
          <w:caps w:val="0"/>
          <w:color w:val="333333"/>
          <w:spacing w:val="0"/>
          <w:kern w:val="0"/>
          <w:sz w:val="32"/>
          <w:szCs w:val="32"/>
          <w:u w:val="none"/>
          <w:bdr w:val="none" w:color="auto" w:sz="0" w:space="0"/>
          <w:lang w:val="en-US" w:eastAsia="zh-CN" w:bidi="ar"/>
        </w:rPr>
        <w:t>七</w:t>
      </w:r>
      <w:r>
        <w:rPr>
          <w:rFonts w:hint="eastAsia" w:ascii="宋体" w:hAnsi="宋体" w:eastAsia="宋体" w:cs="宋体"/>
          <w:b/>
          <w:i w:val="0"/>
          <w:caps w:val="0"/>
          <w:color w:val="333333"/>
          <w:spacing w:val="0"/>
          <w:kern w:val="0"/>
          <w:sz w:val="32"/>
          <w:szCs w:val="32"/>
          <w:u w:val="none"/>
          <w:bdr w:val="none" w:color="auto" w:sz="0" w:space="0"/>
          <w:lang w:val="en-US" w:eastAsia="zh-CN" w:bidi="ar"/>
        </w:rPr>
        <w:t>、“三公”经费：</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按照党中央、国务院有关文件及部门预算管理有关规定，“三公”经费包括因公出国（境）费、公务用车购置及运行费和公务接待费。（1）因公出国（境）费，指单位工作人员公务出国（境）的住宿费、旅费、伙食补助费、杂费、培训费等支出。（2）公务用车购置及运行费，指单位公务用车购置费及租用费、燃料费、维修费、过路过桥费、保险费、安全奖励费用等支出。公务用车指用于履行公务的机动车辆，包括领导干部专车、一般公务用车和执法执勤用车。（3）公务接待费，指单位按规定开支的各类公务接待（含外宾接</w:t>
      </w:r>
      <w:bookmarkStart w:id="0" w:name="_GoBack"/>
      <w:bookmarkEnd w:id="0"/>
      <w:r>
        <w:rPr>
          <w:rFonts w:hint="eastAsia" w:ascii="宋体" w:hAnsi="宋体" w:eastAsia="宋体" w:cs="宋体"/>
          <w:b w:val="0"/>
          <w:i w:val="0"/>
          <w:caps w:val="0"/>
          <w:color w:val="333333"/>
          <w:spacing w:val="0"/>
          <w:kern w:val="0"/>
          <w:sz w:val="32"/>
          <w:szCs w:val="32"/>
          <w:u w:val="none"/>
          <w:bdr w:val="none" w:color="auto" w:sz="0" w:space="0"/>
          <w:lang w:val="en-US" w:eastAsia="zh-CN" w:bidi="ar"/>
        </w:rPr>
        <w:t>待）支出。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52" w:lineRule="atLeast"/>
        <w:ind w:left="1" w:right="0" w:firstLine="630"/>
        <w:jc w:val="lef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i w:val="0"/>
          <w:caps w:val="0"/>
          <w:color w:val="333333"/>
          <w:spacing w:val="0"/>
          <w:kern w:val="0"/>
          <w:sz w:val="32"/>
          <w:szCs w:val="32"/>
          <w:u w:val="none"/>
          <w:bdr w:val="none" w:color="auto" w:sz="0" w:space="0"/>
          <w:lang w:val="en-US" w:eastAsia="zh-CN" w:bidi="ar"/>
        </w:rPr>
        <w:t>八</w:t>
      </w:r>
      <w:r>
        <w:rPr>
          <w:rFonts w:hint="eastAsia" w:ascii="宋体" w:hAnsi="宋体" w:eastAsia="宋体" w:cs="宋体"/>
          <w:b/>
          <w:i w:val="0"/>
          <w:caps w:val="0"/>
          <w:color w:val="333333"/>
          <w:spacing w:val="0"/>
          <w:kern w:val="0"/>
          <w:sz w:val="32"/>
          <w:szCs w:val="32"/>
          <w:u w:val="none"/>
          <w:bdr w:val="none" w:color="auto" w:sz="0" w:space="0"/>
          <w:lang w:val="en-US" w:eastAsia="zh-CN" w:bidi="ar"/>
        </w:rPr>
        <w:t>、机关运行经费：</w:t>
      </w:r>
      <w:r>
        <w:rPr>
          <w:rFonts w:hint="eastAsia" w:ascii="宋体" w:hAnsi="宋体" w:eastAsia="宋体" w:cs="宋体"/>
          <w:b w:val="0"/>
          <w:i w:val="0"/>
          <w:caps w:val="0"/>
          <w:color w:val="333333"/>
          <w:spacing w:val="0"/>
          <w:kern w:val="0"/>
          <w:sz w:val="32"/>
          <w:szCs w:val="32"/>
          <w:u w:val="none"/>
          <w:bdr w:val="none" w:color="auto" w:sz="0" w:space="0"/>
          <w:lang w:val="en-US" w:eastAsia="zh-CN" w:bidi="ar"/>
        </w:rPr>
        <w:t>指为保障行政单位（含参照公务员法管理的事业单位）运行用于购买货物和服务的各项资金，包括办公及印刷费、邮电费、差旅费、会议费、福利费、日常维修费、专项材料及一般设备购置费、办公用房水电费、取暖费、物业管理费、公务用车运行维护费以及其他费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640"/>
        <w:jc w:val="left"/>
        <w:rPr>
          <w:rFonts w:hint="default" w:ascii="Arial" w:hAnsi="Arial" w:eastAsia="Arial" w:cs="Arial"/>
          <w:b w:val="0"/>
          <w:i w:val="0"/>
          <w:caps w:val="0"/>
          <w:color w:val="333333"/>
          <w:spacing w:val="0"/>
          <w:sz w:val="21"/>
          <w:szCs w:val="21"/>
          <w:u w:val="none"/>
        </w:rPr>
      </w:pPr>
      <w:r>
        <w:rPr>
          <w:rFonts w:hint="eastAsia" w:ascii="宋体" w:hAnsi="宋体" w:eastAsia="宋体" w:cs="宋体"/>
          <w:b w:val="0"/>
          <w:i w:val="0"/>
          <w:caps w:val="0"/>
          <w:color w:val="333333"/>
          <w:spacing w:val="0"/>
          <w:kern w:val="0"/>
          <w:sz w:val="32"/>
          <w:szCs w:val="32"/>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78" w:lineRule="atLeast"/>
        <w:ind w:left="0" w:right="0" w:firstLine="0"/>
        <w:jc w:val="center"/>
        <w:rPr>
          <w:rFonts w:hint="default" w:ascii="Arial" w:hAnsi="Arial" w:eastAsia="Arial" w:cs="Arial"/>
          <w:b w:val="0"/>
          <w:i w:val="0"/>
          <w:caps w:val="0"/>
          <w:color w:val="333333"/>
          <w:spacing w:val="0"/>
          <w:sz w:val="21"/>
          <w:szCs w:val="21"/>
          <w:u w:val="none"/>
        </w:rPr>
      </w:pPr>
      <w:r>
        <w:rPr>
          <w:rFonts w:hint="default" w:ascii="方正小标宋简体" w:hAnsi="方正小标宋简体" w:eastAsia="方正小标宋简体" w:cs="方正小标宋简体"/>
          <w:b/>
          <w:i w:val="0"/>
          <w:caps w:val="0"/>
          <w:color w:val="333333"/>
          <w:spacing w:val="0"/>
          <w:kern w:val="0"/>
          <w:sz w:val="44"/>
          <w:szCs w:val="44"/>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firstLine="0"/>
        <w:jc w:val="left"/>
        <w:rPr>
          <w:rFonts w:hint="default" w:ascii="Arial" w:hAnsi="Arial" w:eastAsia="Arial" w:cs="Arial"/>
          <w:b w:val="0"/>
          <w:i w:val="0"/>
          <w:caps w:val="0"/>
          <w:color w:val="333333"/>
          <w:spacing w:val="0"/>
          <w:sz w:val="21"/>
          <w:szCs w:val="21"/>
          <w:u w:val="none"/>
        </w:rPr>
      </w:pPr>
      <w:r>
        <w:rPr>
          <w:rFonts w:hint="eastAsia" w:ascii="宋体" w:hAnsi="宋体" w:eastAsia="宋体" w:cs="宋体"/>
          <w:b w:val="0"/>
          <w:i w:val="0"/>
          <w:caps w:val="0"/>
          <w:color w:val="333333"/>
          <w:spacing w:val="0"/>
          <w:kern w:val="0"/>
          <w:sz w:val="28"/>
          <w:szCs w:val="28"/>
          <w:u w:val="none"/>
          <w:bdr w:val="none" w:color="auto" w:sz="0" w:space="0"/>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40" w:lineRule="atLeast"/>
        <w:ind w:left="0" w:right="0" w:firstLine="0"/>
        <w:jc w:val="right"/>
        <w:rPr>
          <w:rFonts w:hint="default" w:ascii="Arial" w:hAnsi="Arial" w:eastAsia="Arial" w:cs="Arial"/>
          <w:b w:val="0"/>
          <w:i w:val="0"/>
          <w:caps w:val="0"/>
          <w:color w:val="333333"/>
          <w:spacing w:val="0"/>
          <w:sz w:val="21"/>
          <w:szCs w:val="21"/>
          <w:u w:val="none"/>
        </w:rPr>
      </w:pPr>
      <w:r>
        <w:rPr>
          <w:rFonts w:hint="eastAsia" w:ascii="仿宋_GB2312" w:hAnsi="宋体" w:eastAsia="仿宋_GB2312" w:cs="仿宋_GB2312"/>
          <w:b w:val="0"/>
          <w:i w:val="0"/>
          <w:caps w:val="0"/>
          <w:color w:val="333333"/>
          <w:spacing w:val="0"/>
          <w:kern w:val="0"/>
          <w:sz w:val="28"/>
          <w:szCs w:val="28"/>
          <w:u w:val="none"/>
          <w:bdr w:val="none" w:color="auto" w:sz="0" w:space="0"/>
          <w:lang w:val="en-US" w:eastAsia="zh-CN" w:bidi="ar"/>
        </w:rPr>
        <w:t>惠来县突发事件预警信息发布中心</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Lucida Sans Unicode"/>
    <w:panose1 w:val="020F0502020204030204"/>
    <w:charset w:val="00"/>
    <w:family w:val="swiss"/>
    <w:pitch w:val="default"/>
    <w:sig w:usb0="00000000" w:usb1="00000000" w:usb2="00000001" w:usb3="00000000" w:csb0="0000019F" w:csb1="00000000"/>
  </w:font>
  <w:font w:name="Lucida Sans Unicode">
    <w:panose1 w:val="020B0602030504020204"/>
    <w:charset w:val="00"/>
    <w:family w:val="auto"/>
    <w:pitch w:val="default"/>
    <w:sig w:usb0="80001AFF" w:usb1="0000396B" w:usb2="00000000" w:usb3="00000000" w:csb0="0000003F" w:csb1="D7F70000"/>
  </w:font>
  <w:font w:name="Arial">
    <w:panose1 w:val="020B0604020202020204"/>
    <w:charset w:val="00"/>
    <w:family w:val="auto"/>
    <w:pitch w:val="default"/>
    <w:sig w:usb0="00007A87" w:usb1="80000000" w:usb2="00000008" w:usb3="00000000" w:csb0="400001FF" w:csb1="FFFF0000"/>
  </w:font>
  <w:font w:name="方正小标宋简体">
    <w:altName w:val="仿宋_GB2312"/>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B541B3"/>
    <w:rsid w:val="4EB54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惠来县人民政府综合政务服务管理办公室</Company>
  <Pages>1</Pages>
  <Words>0</Words>
  <Characters>0</Characters>
  <Lines>0</Lines>
  <Paragraphs>0</Paragraphs>
  <TotalTime>1</TotalTime>
  <ScaleCrop>false</ScaleCrop>
  <LinksUpToDate>false</LinksUpToDate>
  <CharactersWithSpaces>0</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2020-06-19T07:09:00Z</dcterms:created>
  <dc:creator>Administrator</dc:creator>
  <cp:lastModifiedBy>Administrator</cp:lastModifiedBy>
  <dcterms:modified xsi:type="dcterms:W3CDTF">2020-06-19T07:11:02Z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