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240" w:lineRule="auto"/>
        <w:ind w:right="-198" w:rightChars="-66"/>
        <w:jc w:val="center"/>
        <w:rPr>
          <w:sz w:val="36"/>
          <w:szCs w:val="36"/>
        </w:rPr>
      </w:pPr>
      <w:bookmarkStart w:id="0" w:name="_Hlk125912578"/>
      <w:r>
        <w:rPr>
          <w:rFonts w:hint="eastAsia"/>
        </w:rPr>
        <w:t>关于进一步规范国有建设用地报批利用出让的若干意见</w:t>
      </w:r>
    </w:p>
    <w:bookmarkEnd w:id="0"/>
    <w:p>
      <w:pPr>
        <w:spacing w:before="5" w:line="360" w:lineRule="auto"/>
        <w:ind w:left="30" w:right="39" w:firstLine="673"/>
        <w:rPr>
          <w:rFonts w:ascii="仿宋" w:hAnsi="仿宋" w:eastAsia="仿宋" w:cs="仿宋"/>
          <w:spacing w:val="-8"/>
          <w:szCs w:val="30"/>
        </w:rPr>
      </w:pPr>
      <w:r>
        <w:rPr>
          <w:rFonts w:hint="eastAsia" w:ascii="仿宋" w:hAnsi="仿宋" w:eastAsia="仿宋" w:cs="仿宋"/>
          <w:spacing w:val="-8"/>
          <w:szCs w:val="30"/>
        </w:rPr>
        <w:t>为推进惠来县法治政府建设，促进自然资源高水平保护</w:t>
      </w:r>
      <w:r>
        <w:rPr>
          <w:rFonts w:hint="eastAsia" w:ascii="仿宋" w:hAnsi="仿宋" w:eastAsia="仿宋" w:cs="仿宋"/>
          <w:spacing w:val="-8"/>
          <w:szCs w:val="30"/>
          <w:lang w:eastAsia="zh-CN"/>
        </w:rPr>
        <w:t>、</w:t>
      </w:r>
      <w:r>
        <w:rPr>
          <w:rFonts w:hint="eastAsia" w:ascii="仿宋" w:hAnsi="仿宋" w:eastAsia="仿宋" w:cs="仿宋"/>
          <w:spacing w:val="-8"/>
          <w:szCs w:val="30"/>
        </w:rPr>
        <w:t>高效率利用，妥善解决历史国有建设用地遗留问题，规范国有建设用地利用供应管理工作，保障国土空间规划实施，节约集约利用土地，促进城市科学发展，根据相关法律法规和政策，结合我县实际，</w:t>
      </w:r>
      <w:r>
        <w:rPr>
          <w:rFonts w:hint="eastAsia" w:ascii="仿宋" w:hAnsi="仿宋" w:eastAsia="仿宋" w:cs="仿宋"/>
          <w:spacing w:val="-8"/>
          <w:szCs w:val="30"/>
          <w:lang w:val="en-US" w:eastAsia="zh-CN"/>
        </w:rPr>
        <w:t>现就</w:t>
      </w:r>
      <w:r>
        <w:rPr>
          <w:rFonts w:hint="eastAsia" w:ascii="仿宋" w:hAnsi="仿宋" w:eastAsia="仿宋" w:cs="仿宋"/>
          <w:spacing w:val="-8"/>
          <w:szCs w:val="30"/>
        </w:rPr>
        <w:t>进一步规范</w:t>
      </w:r>
      <w:r>
        <w:rPr>
          <w:rFonts w:hint="eastAsia" w:ascii="仿宋" w:hAnsi="仿宋" w:eastAsia="仿宋" w:cs="仿宋"/>
          <w:spacing w:val="-8"/>
          <w:szCs w:val="30"/>
          <w:lang w:val="en-US" w:eastAsia="zh-CN"/>
        </w:rPr>
        <w:t>我县</w:t>
      </w:r>
      <w:r>
        <w:rPr>
          <w:rFonts w:hint="eastAsia" w:ascii="仿宋" w:hAnsi="仿宋" w:eastAsia="仿宋" w:cs="仿宋"/>
          <w:spacing w:val="-8"/>
          <w:szCs w:val="30"/>
        </w:rPr>
        <w:t>国有建设用地报批利用出让提出以下</w:t>
      </w:r>
      <w:r>
        <w:rPr>
          <w:rFonts w:ascii="仿宋" w:hAnsi="仿宋" w:eastAsia="仿宋" w:cs="仿宋"/>
          <w:spacing w:val="-8"/>
          <w:szCs w:val="30"/>
        </w:rPr>
        <w:t>意见</w:t>
      </w:r>
      <w:r>
        <w:rPr>
          <w:rFonts w:hint="eastAsia" w:ascii="仿宋" w:hAnsi="仿宋" w:eastAsia="仿宋" w:cs="仿宋"/>
          <w:spacing w:val="-8"/>
          <w:szCs w:val="30"/>
        </w:rPr>
        <w:t>。</w:t>
      </w:r>
      <w:r>
        <w:rPr>
          <w:rFonts w:ascii="仿宋" w:hAnsi="仿宋" w:eastAsia="仿宋" w:cs="仿宋"/>
          <w:spacing w:val="-8"/>
          <w:szCs w:val="30"/>
        </w:rPr>
        <w:t xml:space="preserve">  </w:t>
      </w:r>
    </w:p>
    <w:p>
      <w:pPr>
        <w:pStyle w:val="9"/>
        <w:numPr>
          <w:ilvl w:val="0"/>
          <w:numId w:val="1"/>
        </w:numPr>
        <w:spacing w:before="2" w:line="366" w:lineRule="auto"/>
        <w:ind w:right="250" w:firstLineChars="0"/>
        <w:jc w:val="left"/>
        <w:rPr>
          <w:rFonts w:ascii="楷体" w:hAnsi="楷体" w:eastAsia="楷体" w:cs="楷体"/>
          <w:spacing w:val="-2"/>
          <w:sz w:val="32"/>
          <w:szCs w:val="32"/>
        </w:rPr>
      </w:pPr>
      <w:bookmarkStart w:id="1" w:name="_Hlk127807239"/>
      <w:r>
        <w:rPr>
          <w:rFonts w:hint="eastAsia" w:ascii="楷体" w:hAnsi="楷体" w:eastAsia="楷体" w:cs="楷体"/>
          <w:spacing w:val="-2"/>
          <w:sz w:val="32"/>
          <w:szCs w:val="32"/>
        </w:rPr>
        <w:t>规范</w:t>
      </w:r>
      <w:bookmarkStart w:id="2" w:name="_Hlk127952624"/>
      <w:r>
        <w:rPr>
          <w:rFonts w:hint="eastAsia" w:ascii="楷体" w:hAnsi="楷体" w:eastAsia="楷体" w:cs="楷体"/>
          <w:spacing w:val="-2"/>
          <w:sz w:val="32"/>
          <w:szCs w:val="32"/>
        </w:rPr>
        <w:t>国有建设用地利用出让前期工作</w:t>
      </w:r>
      <w:bookmarkEnd w:id="2"/>
    </w:p>
    <w:p>
      <w:pPr>
        <w:spacing w:before="5" w:line="360" w:lineRule="auto"/>
        <w:ind w:left="30" w:right="39" w:firstLine="673"/>
        <w:rPr>
          <w:rFonts w:ascii="仿宋" w:hAnsi="仿宋" w:eastAsia="仿宋" w:cs="仿宋"/>
          <w:spacing w:val="-8"/>
          <w:szCs w:val="30"/>
        </w:rPr>
      </w:pPr>
      <w:r>
        <w:rPr>
          <w:rFonts w:hint="eastAsia" w:ascii="仿宋" w:hAnsi="仿宋" w:eastAsia="仿宋" w:cs="仿宋"/>
          <w:spacing w:val="-8"/>
          <w:szCs w:val="30"/>
        </w:rPr>
        <w:t>1</w:t>
      </w:r>
      <w:r>
        <w:rPr>
          <w:rFonts w:ascii="仿宋" w:hAnsi="仿宋" w:eastAsia="仿宋" w:cs="仿宋"/>
          <w:spacing w:val="-8"/>
          <w:szCs w:val="30"/>
        </w:rPr>
        <w:t xml:space="preserve">. </w:t>
      </w:r>
      <w:r>
        <w:rPr>
          <w:rFonts w:hint="eastAsia" w:ascii="仿宋" w:hAnsi="仿宋" w:eastAsia="仿宋" w:cs="仿宋"/>
          <w:spacing w:val="-8"/>
          <w:szCs w:val="30"/>
        </w:rPr>
        <w:t>规范建设用地报批征收整备工作</w:t>
      </w:r>
    </w:p>
    <w:p>
      <w:pPr>
        <w:spacing w:before="5" w:line="360" w:lineRule="auto"/>
        <w:ind w:left="30" w:right="39" w:firstLine="673"/>
        <w:rPr>
          <w:rFonts w:ascii="仿宋" w:hAnsi="仿宋" w:eastAsia="仿宋" w:cs="仿宋"/>
          <w:spacing w:val="-8"/>
          <w:szCs w:val="30"/>
        </w:rPr>
      </w:pPr>
      <w:r>
        <w:rPr>
          <w:rFonts w:hint="eastAsia" w:ascii="仿宋" w:hAnsi="仿宋" w:eastAsia="仿宋" w:cs="仿宋"/>
          <w:spacing w:val="-8"/>
          <w:szCs w:val="30"/>
        </w:rPr>
        <w:t>为从源头解决国有建设用地边界不规整问题，县自然资源主管部门应按照</w:t>
      </w:r>
      <w:r>
        <w:rPr>
          <w:rFonts w:ascii="仿宋" w:hAnsi="仿宋" w:eastAsia="仿宋" w:cs="仿宋"/>
          <w:spacing w:val="-8"/>
          <w:szCs w:val="30"/>
        </w:rPr>
        <w:t>《惠来县严格落实控规单元规范土地征收整合储备工作实施办法》的通知（惠府办〔2020〕50号）要求</w:t>
      </w:r>
      <w:r>
        <w:rPr>
          <w:rFonts w:hint="eastAsia" w:ascii="仿宋" w:hAnsi="仿宋" w:eastAsia="仿宋" w:cs="仿宋"/>
          <w:spacing w:val="-8"/>
          <w:szCs w:val="30"/>
        </w:rPr>
        <w:t>，对拟进行报批、征收和储备的土地，按照控规单元要求，编制土地征收整合储备方案，提高土地整备水平，形成规整储备土地。方案报县政府批准后，县自然资源主管部门按照方案开展</w:t>
      </w:r>
      <w:bookmarkStart w:id="3" w:name="_Hlk127954311"/>
      <w:r>
        <w:rPr>
          <w:rFonts w:hint="eastAsia" w:ascii="仿宋" w:hAnsi="仿宋" w:eastAsia="仿宋" w:cs="仿宋"/>
          <w:spacing w:val="-8"/>
          <w:szCs w:val="30"/>
        </w:rPr>
        <w:t>后续的土地报批、征收补偿和整合储备工作</w:t>
      </w:r>
      <w:bookmarkEnd w:id="3"/>
      <w:r>
        <w:rPr>
          <w:rFonts w:hint="eastAsia" w:ascii="仿宋" w:hAnsi="仿宋" w:eastAsia="仿宋" w:cs="仿宋"/>
          <w:spacing w:val="-8"/>
          <w:szCs w:val="30"/>
        </w:rPr>
        <w:t>。</w:t>
      </w:r>
    </w:p>
    <w:p>
      <w:pPr>
        <w:spacing w:before="5" w:line="360" w:lineRule="auto"/>
        <w:ind w:left="30" w:right="39" w:firstLine="673"/>
        <w:rPr>
          <w:rFonts w:ascii="仿宋" w:hAnsi="仿宋" w:eastAsia="仿宋" w:cs="仿宋"/>
          <w:spacing w:val="-8"/>
          <w:szCs w:val="30"/>
        </w:rPr>
      </w:pPr>
      <w:bookmarkStart w:id="4" w:name="_Hlk127954028"/>
      <w:r>
        <w:rPr>
          <w:rFonts w:hint="eastAsia" w:ascii="仿宋" w:hAnsi="仿宋" w:eastAsia="仿宋" w:cs="仿宋"/>
          <w:spacing w:val="-8"/>
          <w:szCs w:val="30"/>
        </w:rPr>
        <w:t>2</w:t>
      </w:r>
      <w:r>
        <w:rPr>
          <w:rFonts w:ascii="仿宋" w:hAnsi="仿宋" w:eastAsia="仿宋" w:cs="仿宋"/>
          <w:spacing w:val="-8"/>
          <w:szCs w:val="30"/>
        </w:rPr>
        <w:t xml:space="preserve">. </w:t>
      </w:r>
      <w:r>
        <w:rPr>
          <w:rFonts w:hint="eastAsia" w:ascii="仿宋" w:hAnsi="仿宋" w:eastAsia="仿宋" w:cs="仿宋"/>
          <w:spacing w:val="-8"/>
          <w:szCs w:val="30"/>
        </w:rPr>
        <w:t>编制实施</w:t>
      </w:r>
      <w:bookmarkStart w:id="5" w:name="_Hlk127813039"/>
      <w:r>
        <w:rPr>
          <w:rFonts w:hint="eastAsia" w:ascii="仿宋" w:hAnsi="仿宋" w:eastAsia="仿宋" w:cs="仿宋"/>
          <w:spacing w:val="-8"/>
          <w:szCs w:val="30"/>
        </w:rPr>
        <w:t>国有建设用地出让方案</w:t>
      </w:r>
      <w:bookmarkEnd w:id="5"/>
    </w:p>
    <w:p>
      <w:pPr>
        <w:spacing w:before="5" w:line="360" w:lineRule="auto"/>
        <w:ind w:left="30" w:right="39" w:firstLine="673"/>
        <w:rPr>
          <w:rFonts w:ascii="仿宋" w:hAnsi="仿宋" w:eastAsia="仿宋" w:cs="仿宋"/>
          <w:spacing w:val="-8"/>
          <w:szCs w:val="30"/>
        </w:rPr>
      </w:pPr>
      <w:r>
        <w:rPr>
          <w:rFonts w:hint="eastAsia" w:ascii="仿宋" w:hAnsi="仿宋" w:eastAsia="仿宋" w:cs="仿宋"/>
          <w:spacing w:val="-8"/>
          <w:szCs w:val="30"/>
        </w:rPr>
        <w:t>国有建设用地出让前需编制国有建设用地出让方案，并经国空委审议通过并报县政府批准后实施。国有建设用地供应方案应当符合土地使用标准</w:t>
      </w:r>
      <w:r>
        <w:rPr>
          <w:rFonts w:ascii="仿宋" w:hAnsi="仿宋" w:eastAsia="仿宋" w:cs="仿宋"/>
          <w:spacing w:val="-8"/>
          <w:szCs w:val="30"/>
        </w:rPr>
        <w:t>,体现节约集约用地的要求，符合土地使用权网上交易的各项规定。</w:t>
      </w:r>
      <w:r>
        <w:rPr>
          <w:rFonts w:hint="eastAsia" w:ascii="仿宋" w:hAnsi="仿宋" w:eastAsia="仿宋" w:cs="仿宋"/>
          <w:spacing w:val="-8"/>
          <w:szCs w:val="30"/>
        </w:rPr>
        <w:t>国有建设用地出让方案应包括拟出让地块的地块区位、用地规划、位置面积、土地权属、土地现状、规划条件、土地成本、出让价格及方式、土地出让条件、土地利用要求和违约责任等内容。</w:t>
      </w:r>
    </w:p>
    <w:p>
      <w:pPr>
        <w:spacing w:before="5" w:line="440" w:lineRule="exact"/>
        <w:ind w:right="40"/>
        <w:rPr>
          <w:rFonts w:ascii="仿宋" w:hAnsi="仿宋" w:eastAsia="仿宋" w:cs="仿宋"/>
          <w:i/>
          <w:iCs/>
          <w:spacing w:val="-8"/>
          <w:sz w:val="24"/>
          <w:szCs w:val="24"/>
        </w:rPr>
      </w:pPr>
      <w:r>
        <w:rPr>
          <w:rFonts w:hint="eastAsia" w:ascii="仿宋" w:hAnsi="仿宋" w:eastAsia="仿宋" w:cs="仿宋"/>
          <w:i/>
          <w:iCs/>
          <w:spacing w:val="-8"/>
          <w:sz w:val="24"/>
          <w:szCs w:val="24"/>
        </w:rPr>
        <w:t>备注：参考《广东省国土资源厅关于进一步规范土地出让管理工作的通知》（粤国土资规字</w:t>
      </w:r>
      <w:r>
        <w:rPr>
          <w:rFonts w:ascii="仿宋" w:hAnsi="仿宋" w:eastAsia="仿宋" w:cs="仿宋"/>
          <w:i/>
          <w:iCs/>
          <w:spacing w:val="-8"/>
          <w:sz w:val="24"/>
          <w:szCs w:val="24"/>
        </w:rPr>
        <w:t>[2017]2号</w:t>
      </w:r>
      <w:r>
        <w:rPr>
          <w:rFonts w:hint="eastAsia" w:ascii="仿宋" w:hAnsi="仿宋" w:eastAsia="仿宋" w:cs="仿宋"/>
          <w:i/>
          <w:iCs/>
          <w:spacing w:val="-8"/>
          <w:sz w:val="24"/>
          <w:szCs w:val="24"/>
        </w:rPr>
        <w:t>，《广东省自然资源厅关于进一步规范国有建设用地使用权出让管理相关工作的通知（征求意见稿）》的相关要求，结合惠来实际确定出让方案内容。</w:t>
      </w:r>
    </w:p>
    <w:p>
      <w:pPr>
        <w:spacing w:before="5" w:line="360" w:lineRule="auto"/>
        <w:ind w:left="30" w:right="39" w:firstLine="673"/>
        <w:rPr>
          <w:rFonts w:ascii="仿宋" w:hAnsi="仿宋" w:eastAsia="仿宋" w:cs="仿宋"/>
          <w:color w:val="auto"/>
          <w:spacing w:val="-8"/>
          <w:szCs w:val="30"/>
        </w:rPr>
      </w:pPr>
      <w:bookmarkStart w:id="7" w:name="_GoBack"/>
      <w:r>
        <w:rPr>
          <w:rFonts w:hint="eastAsia" w:ascii="仿宋" w:hAnsi="仿宋" w:eastAsia="仿宋" w:cs="仿宋"/>
          <w:color w:val="auto"/>
          <w:spacing w:val="-8"/>
          <w:szCs w:val="30"/>
        </w:rPr>
        <w:t>3</w:t>
      </w:r>
      <w:r>
        <w:rPr>
          <w:rFonts w:ascii="仿宋" w:hAnsi="仿宋" w:eastAsia="仿宋" w:cs="仿宋"/>
          <w:color w:val="auto"/>
          <w:spacing w:val="-8"/>
          <w:szCs w:val="30"/>
        </w:rPr>
        <w:t xml:space="preserve">. </w:t>
      </w:r>
      <w:r>
        <w:rPr>
          <w:rFonts w:hint="eastAsia" w:ascii="仿宋" w:hAnsi="仿宋" w:eastAsia="仿宋" w:cs="仿宋"/>
          <w:color w:val="auto"/>
          <w:spacing w:val="-8"/>
          <w:szCs w:val="30"/>
        </w:rPr>
        <w:t>建立</w:t>
      </w:r>
      <w:r>
        <w:rPr>
          <w:rFonts w:hint="eastAsia" w:ascii="仿宋" w:hAnsi="仿宋" w:eastAsia="仿宋" w:cs="仿宋"/>
          <w:color w:val="auto"/>
          <w:spacing w:val="-8"/>
          <w:szCs w:val="30"/>
          <w:lang w:val="en-US" w:eastAsia="zh-CN"/>
        </w:rPr>
        <w:t>健</w:t>
      </w:r>
      <w:r>
        <w:rPr>
          <w:rFonts w:hint="eastAsia" w:ascii="仿宋" w:hAnsi="仿宋" w:eastAsia="仿宋" w:cs="仿宋"/>
          <w:color w:val="auto"/>
          <w:spacing w:val="-8"/>
          <w:szCs w:val="30"/>
        </w:rPr>
        <w:t>全第三方技术服务管理制度</w:t>
      </w:r>
    </w:p>
    <w:bookmarkEnd w:id="4"/>
    <w:p>
      <w:pPr>
        <w:spacing w:before="5" w:line="360" w:lineRule="auto"/>
        <w:ind w:left="30" w:right="39" w:firstLine="673"/>
        <w:rPr>
          <w:rFonts w:ascii="仿宋" w:hAnsi="仿宋" w:eastAsia="仿宋" w:cs="仿宋"/>
          <w:color w:val="auto"/>
          <w:spacing w:val="-8"/>
          <w:szCs w:val="30"/>
        </w:rPr>
      </w:pPr>
      <w:r>
        <w:rPr>
          <w:rFonts w:hint="eastAsia" w:ascii="仿宋" w:hAnsi="仿宋" w:eastAsia="仿宋" w:cs="仿宋"/>
          <w:color w:val="auto"/>
          <w:spacing w:val="-8"/>
          <w:szCs w:val="30"/>
        </w:rPr>
        <w:t>为保障土地报批利用出让工作的规范性、科学性和合理性，县自然资源主管部门应通过采购第三方机构技术服务，为土地征收整合储备方案、土地报批征收工作和国有建设用地出让方案提供专业技术服务支撑。自然资源主管部门应建立健全第三方机构技术服务管理制度，明确第三方机构技术服务范围、实施流程、机构确定、合同签订、资金来源和保障措施等内容，并完善</w:t>
      </w:r>
      <w:r>
        <w:rPr>
          <w:rFonts w:ascii="仿宋" w:hAnsi="仿宋" w:eastAsia="仿宋" w:cs="仿宋"/>
          <w:color w:val="auto"/>
          <w:spacing w:val="-8"/>
          <w:szCs w:val="30"/>
        </w:rPr>
        <w:t>购买服务监督管理机制</w:t>
      </w:r>
      <w:r>
        <w:rPr>
          <w:rFonts w:hint="eastAsia" w:ascii="仿宋" w:hAnsi="仿宋" w:eastAsia="仿宋" w:cs="仿宋"/>
          <w:color w:val="auto"/>
          <w:spacing w:val="-8"/>
          <w:szCs w:val="30"/>
        </w:rPr>
        <w:t>。县自然资源主管部门要切实履行行政职能，对第三方机构技术服务内容开展行政审查审批工作。</w:t>
      </w:r>
    </w:p>
    <w:p>
      <w:pPr>
        <w:pStyle w:val="9"/>
        <w:numPr>
          <w:ilvl w:val="0"/>
          <w:numId w:val="1"/>
        </w:numPr>
        <w:spacing w:before="2" w:line="366" w:lineRule="auto"/>
        <w:ind w:right="250" w:firstLineChars="0"/>
        <w:jc w:val="left"/>
        <w:rPr>
          <w:rFonts w:ascii="楷体" w:hAnsi="楷体" w:eastAsia="楷体" w:cs="楷体"/>
          <w:color w:val="auto"/>
          <w:spacing w:val="-2"/>
          <w:sz w:val="32"/>
          <w:szCs w:val="32"/>
        </w:rPr>
      </w:pPr>
      <w:r>
        <w:rPr>
          <w:rFonts w:hint="eastAsia" w:ascii="楷体" w:hAnsi="楷体" w:eastAsia="楷体" w:cs="楷体"/>
          <w:color w:val="auto"/>
          <w:spacing w:val="-2"/>
          <w:sz w:val="32"/>
          <w:szCs w:val="32"/>
        </w:rPr>
        <w:t>规范规划条件不完善的历史建设用地</w:t>
      </w:r>
      <w:bookmarkEnd w:id="1"/>
      <w:r>
        <w:rPr>
          <w:rFonts w:hint="eastAsia" w:ascii="楷体" w:hAnsi="楷体" w:eastAsia="楷体" w:cs="楷体"/>
          <w:color w:val="auto"/>
          <w:spacing w:val="-2"/>
          <w:sz w:val="32"/>
          <w:szCs w:val="32"/>
        </w:rPr>
        <w:t>处置</w:t>
      </w:r>
    </w:p>
    <w:bookmarkEnd w:id="7"/>
    <w:p>
      <w:pPr>
        <w:spacing w:before="5" w:line="360" w:lineRule="auto"/>
        <w:ind w:left="30" w:right="39" w:firstLine="673"/>
        <w:rPr>
          <w:rFonts w:ascii="仿宋" w:hAnsi="仿宋" w:eastAsia="仿宋" w:cs="仿宋"/>
          <w:spacing w:val="-8"/>
          <w:szCs w:val="30"/>
        </w:rPr>
      </w:pPr>
      <w:r>
        <w:rPr>
          <w:rFonts w:hint="eastAsia" w:ascii="仿宋" w:hAnsi="仿宋" w:eastAsia="仿宋" w:cs="仿宋"/>
          <w:spacing w:val="-8"/>
          <w:szCs w:val="30"/>
        </w:rPr>
        <w:t>我县部分历史建设用地已取得有效的土地使用权属证书，但因历史原因，建设用地规划审批资料、土地使用合同</w:t>
      </w:r>
      <w:r>
        <w:rPr>
          <w:rFonts w:ascii="仿宋" w:hAnsi="仿宋" w:eastAsia="仿宋" w:cs="仿宋"/>
          <w:spacing w:val="-8"/>
          <w:szCs w:val="30"/>
        </w:rPr>
        <w:t>(或其他使用土地证明材料)未约定规划条件或规划条件不全</w:t>
      </w:r>
      <w:r>
        <w:rPr>
          <w:rFonts w:hint="eastAsia" w:ascii="仿宋" w:hAnsi="仿宋" w:eastAsia="仿宋" w:cs="仿宋"/>
          <w:spacing w:val="-8"/>
          <w:szCs w:val="30"/>
        </w:rPr>
        <w:t>，未办理</w:t>
      </w:r>
      <w:r>
        <w:rPr>
          <w:rFonts w:hint="eastAsia" w:ascii="仿宋" w:hAnsi="仿宋" w:eastAsia="仿宋" w:cs="仿宋"/>
          <w:spacing w:val="-8"/>
          <w:szCs w:val="30"/>
          <w:lang w:val="en-US" w:eastAsia="zh-CN"/>
        </w:rPr>
        <w:t>建设用地规划许可证、</w:t>
      </w:r>
      <w:r>
        <w:rPr>
          <w:rFonts w:hint="eastAsia" w:ascii="仿宋" w:hAnsi="仿宋" w:eastAsia="仿宋" w:cs="仿宋"/>
          <w:spacing w:val="-8"/>
          <w:szCs w:val="30"/>
        </w:rPr>
        <w:t>建设工程规划许可证，</w:t>
      </w:r>
      <w:r>
        <w:rPr>
          <w:rFonts w:ascii="仿宋" w:hAnsi="仿宋" w:eastAsia="仿宋" w:cs="仿宋"/>
          <w:spacing w:val="-8"/>
          <w:szCs w:val="30"/>
        </w:rPr>
        <w:t>影响建设</w:t>
      </w:r>
      <w:r>
        <w:rPr>
          <w:rFonts w:hint="eastAsia" w:ascii="仿宋" w:hAnsi="仿宋" w:eastAsia="仿宋" w:cs="仿宋"/>
          <w:spacing w:val="-8"/>
          <w:szCs w:val="30"/>
        </w:rPr>
        <w:t>用地</w:t>
      </w:r>
      <w:r>
        <w:rPr>
          <w:rFonts w:ascii="仿宋" w:hAnsi="仿宋" w:eastAsia="仿宋" w:cs="仿宋"/>
          <w:spacing w:val="-8"/>
          <w:szCs w:val="30"/>
        </w:rPr>
        <w:t>项目的</w:t>
      </w:r>
      <w:r>
        <w:rPr>
          <w:rFonts w:hint="eastAsia" w:ascii="仿宋" w:hAnsi="仿宋" w:eastAsia="仿宋" w:cs="仿宋"/>
          <w:spacing w:val="-8"/>
          <w:szCs w:val="30"/>
        </w:rPr>
        <w:t>开发</w:t>
      </w:r>
      <w:r>
        <w:rPr>
          <w:rFonts w:ascii="仿宋" w:hAnsi="仿宋" w:eastAsia="仿宋" w:cs="仿宋"/>
          <w:spacing w:val="-8"/>
          <w:szCs w:val="30"/>
        </w:rPr>
        <w:t>建设、转让拍卖和</w:t>
      </w:r>
      <w:r>
        <w:rPr>
          <w:rFonts w:hint="eastAsia" w:ascii="仿宋" w:hAnsi="仿宋" w:eastAsia="仿宋" w:cs="仿宋"/>
          <w:spacing w:val="-8"/>
          <w:szCs w:val="30"/>
        </w:rPr>
        <w:t>产权</w:t>
      </w:r>
      <w:r>
        <w:rPr>
          <w:rFonts w:ascii="仿宋" w:hAnsi="仿宋" w:eastAsia="仿宋" w:cs="仿宋"/>
          <w:spacing w:val="-8"/>
          <w:szCs w:val="30"/>
        </w:rPr>
        <w:t>登记</w:t>
      </w:r>
      <w:r>
        <w:rPr>
          <w:rFonts w:hint="eastAsia" w:ascii="仿宋" w:hAnsi="仿宋" w:eastAsia="仿宋" w:cs="仿宋"/>
          <w:spacing w:val="-8"/>
          <w:szCs w:val="30"/>
        </w:rPr>
        <w:t>等后续工作</w:t>
      </w:r>
      <w:r>
        <w:rPr>
          <w:rFonts w:ascii="仿宋" w:hAnsi="仿宋" w:eastAsia="仿宋" w:cs="仿宋"/>
          <w:spacing w:val="-8"/>
          <w:szCs w:val="30"/>
        </w:rPr>
        <w:t>。2020</w:t>
      </w:r>
      <w:r>
        <w:rPr>
          <w:rFonts w:hint="eastAsia" w:ascii="仿宋" w:hAnsi="仿宋" w:eastAsia="仿宋" w:cs="仿宋"/>
          <w:spacing w:val="-8"/>
          <w:szCs w:val="30"/>
        </w:rPr>
        <w:t>年1</w:t>
      </w:r>
      <w:r>
        <w:rPr>
          <w:rFonts w:ascii="仿宋" w:hAnsi="仿宋" w:eastAsia="仿宋" w:cs="仿宋"/>
          <w:spacing w:val="-8"/>
          <w:szCs w:val="30"/>
        </w:rPr>
        <w:t>1</w:t>
      </w:r>
      <w:r>
        <w:rPr>
          <w:rFonts w:hint="eastAsia" w:ascii="仿宋" w:hAnsi="仿宋" w:eastAsia="仿宋" w:cs="仿宋"/>
          <w:spacing w:val="-8"/>
          <w:szCs w:val="30"/>
        </w:rPr>
        <w:t>月，我县出台了</w:t>
      </w:r>
      <w:bookmarkStart w:id="6" w:name="_Hlk128319028"/>
      <w:r>
        <w:rPr>
          <w:rFonts w:hint="eastAsia" w:ascii="仿宋" w:hAnsi="仿宋" w:eastAsia="仿宋" w:cs="仿宋"/>
          <w:spacing w:val="-8"/>
          <w:szCs w:val="30"/>
        </w:rPr>
        <w:t>《惠来县历史建设用地未约定规划条件的处理意见》，</w:t>
      </w:r>
      <w:bookmarkEnd w:id="6"/>
      <w:r>
        <w:rPr>
          <w:rFonts w:hint="eastAsia" w:ascii="仿宋" w:hAnsi="仿宋" w:eastAsia="仿宋" w:cs="仿宋"/>
          <w:spacing w:val="-8"/>
          <w:szCs w:val="30"/>
        </w:rPr>
        <w:t>有效期三年，将于2</w:t>
      </w:r>
      <w:r>
        <w:rPr>
          <w:rFonts w:ascii="仿宋" w:hAnsi="仿宋" w:eastAsia="仿宋" w:cs="仿宋"/>
          <w:spacing w:val="-8"/>
          <w:szCs w:val="30"/>
        </w:rPr>
        <w:t>023</w:t>
      </w:r>
      <w:r>
        <w:rPr>
          <w:rFonts w:hint="eastAsia" w:ascii="仿宋" w:hAnsi="仿宋" w:eastAsia="仿宋" w:cs="仿宋"/>
          <w:spacing w:val="-8"/>
          <w:szCs w:val="30"/>
        </w:rPr>
        <w:t>年1</w:t>
      </w:r>
      <w:r>
        <w:rPr>
          <w:rFonts w:ascii="仿宋" w:hAnsi="仿宋" w:eastAsia="仿宋" w:cs="仿宋"/>
          <w:spacing w:val="-8"/>
          <w:szCs w:val="30"/>
        </w:rPr>
        <w:t>1</w:t>
      </w:r>
      <w:r>
        <w:rPr>
          <w:rFonts w:hint="eastAsia" w:ascii="仿宋" w:hAnsi="仿宋" w:eastAsia="仿宋" w:cs="仿宋"/>
          <w:spacing w:val="-8"/>
          <w:szCs w:val="30"/>
        </w:rPr>
        <w:t>月过期。意见虽然明确了历史建设用地的处理办法，但实施过程中存在一定的不适应。为</w:t>
      </w:r>
      <w:r>
        <w:rPr>
          <w:rFonts w:ascii="仿宋" w:hAnsi="仿宋" w:eastAsia="仿宋" w:cs="仿宋"/>
          <w:spacing w:val="-8"/>
          <w:szCs w:val="30"/>
        </w:rPr>
        <w:t>进一步规范规划条件不完善的历史建设用地处置</w:t>
      </w:r>
      <w:r>
        <w:rPr>
          <w:rFonts w:hint="eastAsia" w:ascii="仿宋" w:hAnsi="仿宋" w:eastAsia="仿宋" w:cs="仿宋"/>
          <w:spacing w:val="-8"/>
          <w:szCs w:val="30"/>
        </w:rPr>
        <w:t>，提出以下意见。</w:t>
      </w:r>
    </w:p>
    <w:p>
      <w:pPr>
        <w:pStyle w:val="9"/>
        <w:spacing w:before="5" w:line="360" w:lineRule="auto"/>
        <w:ind w:left="703" w:right="39" w:firstLine="0" w:firstLineChars="0"/>
        <w:rPr>
          <w:rFonts w:ascii="仿宋" w:hAnsi="仿宋" w:eastAsia="仿宋" w:cs="仿宋"/>
          <w:spacing w:val="-8"/>
          <w:szCs w:val="30"/>
        </w:rPr>
      </w:pPr>
      <w:r>
        <w:rPr>
          <w:rFonts w:hint="eastAsia" w:ascii="仿宋" w:hAnsi="仿宋" w:eastAsia="仿宋" w:cs="仿宋"/>
          <w:spacing w:val="-8"/>
          <w:szCs w:val="30"/>
        </w:rPr>
        <w:t>1</w:t>
      </w:r>
      <w:r>
        <w:rPr>
          <w:rFonts w:ascii="仿宋" w:hAnsi="仿宋" w:eastAsia="仿宋" w:cs="仿宋"/>
          <w:spacing w:val="-8"/>
          <w:szCs w:val="30"/>
        </w:rPr>
        <w:t xml:space="preserve">. </w:t>
      </w:r>
      <w:r>
        <w:rPr>
          <w:rFonts w:hint="eastAsia" w:ascii="仿宋" w:hAnsi="仿宋" w:eastAsia="仿宋" w:cs="仿宋"/>
          <w:spacing w:val="-8"/>
          <w:szCs w:val="30"/>
        </w:rPr>
        <w:t>规范历史建设用地的处理流程</w:t>
      </w:r>
    </w:p>
    <w:p>
      <w:pPr>
        <w:spacing w:before="5" w:line="360" w:lineRule="auto"/>
        <w:ind w:left="30" w:right="39" w:firstLine="673"/>
        <w:rPr>
          <w:rFonts w:ascii="仿宋" w:hAnsi="仿宋" w:eastAsia="仿宋" w:cs="仿宋"/>
          <w:spacing w:val="-8"/>
          <w:szCs w:val="30"/>
        </w:rPr>
      </w:pPr>
      <w:r>
        <w:rPr>
          <w:rFonts w:hint="eastAsia" w:ascii="仿宋" w:hAnsi="仿宋" w:eastAsia="仿宋" w:cs="仿宋"/>
          <w:spacing w:val="-8"/>
          <w:szCs w:val="30"/>
        </w:rPr>
        <w:t>对于符合以上条件的历史建设用地，由土地使用权人向县自然资源主管部门书面提出确定历史建设用地规划条件的申请。县自然</w:t>
      </w:r>
      <w:r>
        <w:rPr>
          <w:rFonts w:hint="eastAsia" w:ascii="仿宋" w:hAnsi="仿宋" w:eastAsia="仿宋" w:cs="仿宋"/>
          <w:color w:val="auto"/>
          <w:spacing w:val="-8"/>
          <w:szCs w:val="30"/>
        </w:rPr>
        <w:t>资源主管部门同意后，依据详细规划或规划条件论证提出规划条件，同时提交县国土空间规划委员会会议审议</w:t>
      </w:r>
      <w:r>
        <w:rPr>
          <w:rFonts w:hint="eastAsia" w:ascii="仿宋" w:hAnsi="仿宋" w:eastAsia="仿宋" w:cs="仿宋"/>
          <w:color w:val="auto"/>
          <w:spacing w:val="-8"/>
          <w:szCs w:val="30"/>
          <w:lang w:eastAsia="zh-CN"/>
        </w:rPr>
        <w:t>，</w:t>
      </w:r>
      <w:r>
        <w:rPr>
          <w:rFonts w:hint="eastAsia" w:ascii="仿宋" w:hAnsi="仿宋" w:eastAsia="仿宋" w:cs="仿宋"/>
          <w:color w:val="auto"/>
          <w:spacing w:val="-8"/>
          <w:szCs w:val="30"/>
        </w:rPr>
        <w:t>审议通过后</w:t>
      </w:r>
      <w:r>
        <w:rPr>
          <w:rFonts w:hint="eastAsia" w:ascii="仿宋" w:hAnsi="仿宋" w:eastAsia="仿宋" w:cs="仿宋"/>
          <w:color w:val="auto"/>
          <w:spacing w:val="-8"/>
          <w:szCs w:val="30"/>
          <w:lang w:val="en-US" w:eastAsia="zh-CN"/>
        </w:rPr>
        <w:t>报县人民政府批准，</w:t>
      </w:r>
      <w:r>
        <w:rPr>
          <w:rFonts w:hint="eastAsia" w:ascii="仿宋" w:hAnsi="仿宋" w:eastAsia="仿宋" w:cs="仿宋"/>
          <w:color w:val="auto"/>
          <w:spacing w:val="-8"/>
          <w:szCs w:val="30"/>
        </w:rPr>
        <w:t>县自然资源主管部门在</w:t>
      </w:r>
      <w:r>
        <w:rPr>
          <w:rFonts w:hint="eastAsia" w:ascii="仿宋" w:hAnsi="仿宋" w:eastAsia="仿宋" w:cs="仿宋"/>
          <w:color w:val="auto"/>
          <w:spacing w:val="-8"/>
          <w:szCs w:val="30"/>
          <w:lang w:val="en-US" w:eastAsia="zh-CN"/>
        </w:rPr>
        <w:t>批准后</w:t>
      </w:r>
      <w:r>
        <w:rPr>
          <w:rFonts w:ascii="仿宋" w:hAnsi="仿宋" w:eastAsia="仿宋" w:cs="仿宋"/>
          <w:color w:val="auto"/>
          <w:spacing w:val="-8"/>
          <w:szCs w:val="30"/>
        </w:rPr>
        <w:t>5个工作日内出具</w:t>
      </w:r>
      <w:r>
        <w:rPr>
          <w:rFonts w:hint="eastAsia" w:ascii="仿宋" w:hAnsi="仿宋" w:eastAsia="仿宋" w:cs="仿宋"/>
          <w:color w:val="auto"/>
          <w:spacing w:val="-8"/>
          <w:szCs w:val="30"/>
        </w:rPr>
        <w:t>历史</w:t>
      </w:r>
      <w:r>
        <w:rPr>
          <w:rFonts w:ascii="仿宋" w:hAnsi="仿宋" w:eastAsia="仿宋" w:cs="仿宋"/>
          <w:color w:val="auto"/>
          <w:spacing w:val="-8"/>
          <w:szCs w:val="30"/>
        </w:rPr>
        <w:t>建设用地的规划条件</w:t>
      </w:r>
      <w:r>
        <w:rPr>
          <w:rFonts w:hint="eastAsia" w:ascii="仿宋" w:hAnsi="仿宋" w:eastAsia="仿宋" w:cs="仿宋"/>
          <w:color w:val="auto"/>
          <w:spacing w:val="-8"/>
          <w:szCs w:val="30"/>
        </w:rPr>
        <w:t>，核</w:t>
      </w:r>
      <w:r>
        <w:rPr>
          <w:rFonts w:hint="eastAsia" w:ascii="仿宋" w:hAnsi="仿宋" w:eastAsia="仿宋" w:cs="仿宋"/>
          <w:spacing w:val="-8"/>
          <w:szCs w:val="30"/>
        </w:rPr>
        <w:t>发建设用地规划许可证。县自然资源主管部门与土地使用权人重新签订土地使用权出让合同或补充协议</w:t>
      </w:r>
      <w:r>
        <w:rPr>
          <w:rFonts w:hint="eastAsia" w:ascii="仿宋" w:hAnsi="仿宋" w:eastAsia="仿宋" w:cs="仿宋"/>
          <w:spacing w:val="-8"/>
          <w:szCs w:val="30"/>
          <w:lang w:eastAsia="zh-CN"/>
        </w:rPr>
        <w:t>，</w:t>
      </w:r>
      <w:r>
        <w:rPr>
          <w:rFonts w:hint="eastAsia" w:ascii="仿宋" w:hAnsi="仿宋" w:eastAsia="仿宋" w:cs="仿宋"/>
          <w:spacing w:val="-8"/>
          <w:szCs w:val="30"/>
        </w:rPr>
        <w:t>土地使用权人按规定增缴土地价款后，完善历史建设用地相关手续。</w:t>
      </w:r>
    </w:p>
    <w:p>
      <w:pPr>
        <w:pStyle w:val="9"/>
        <w:spacing w:before="5" w:line="360" w:lineRule="auto"/>
        <w:ind w:left="703" w:right="39" w:firstLine="0" w:firstLineChars="0"/>
        <w:rPr>
          <w:rFonts w:ascii="仿宋" w:hAnsi="仿宋" w:eastAsia="仿宋" w:cs="仿宋"/>
          <w:spacing w:val="-8"/>
          <w:szCs w:val="30"/>
        </w:rPr>
      </w:pPr>
      <w:r>
        <w:rPr>
          <w:rFonts w:hint="eastAsia" w:ascii="仿宋" w:hAnsi="仿宋" w:eastAsia="仿宋" w:cs="仿宋"/>
          <w:spacing w:val="-8"/>
          <w:szCs w:val="30"/>
        </w:rPr>
        <w:t>2</w:t>
      </w:r>
      <w:r>
        <w:rPr>
          <w:rFonts w:ascii="仿宋" w:hAnsi="仿宋" w:eastAsia="仿宋" w:cs="仿宋"/>
          <w:spacing w:val="-8"/>
          <w:szCs w:val="30"/>
        </w:rPr>
        <w:t xml:space="preserve">. </w:t>
      </w:r>
      <w:r>
        <w:rPr>
          <w:rFonts w:hint="eastAsia" w:ascii="仿宋" w:hAnsi="仿宋" w:eastAsia="仿宋" w:cs="仿宋"/>
          <w:spacing w:val="-8"/>
          <w:szCs w:val="30"/>
        </w:rPr>
        <w:t>明确历史建设用地的规划条件</w:t>
      </w:r>
    </w:p>
    <w:p>
      <w:pPr>
        <w:spacing w:before="5" w:line="360" w:lineRule="auto"/>
        <w:ind w:left="30" w:right="39" w:firstLine="673"/>
        <w:rPr>
          <w:rFonts w:ascii="仿宋" w:hAnsi="仿宋" w:eastAsia="仿宋" w:cs="仿宋"/>
          <w:spacing w:val="-8"/>
          <w:szCs w:val="30"/>
        </w:rPr>
      </w:pPr>
      <w:r>
        <w:rPr>
          <w:rFonts w:hint="eastAsia" w:ascii="仿宋" w:hAnsi="仿宋" w:eastAsia="仿宋" w:cs="仿宋"/>
          <w:spacing w:val="-8"/>
          <w:szCs w:val="30"/>
        </w:rPr>
        <w:t>历史建设用地详细规划已覆盖的，规划条件按照现行详细规划的规定执行；历史建设用地详细规划未覆盖的，由县自然资源主管部门尽快组织编制详细规划或开展规划条件论证，依法按程序提请县人民政府批准实施，确定历史建设用地的规划条件，规范土地建设管理。</w:t>
      </w:r>
    </w:p>
    <w:p>
      <w:pPr>
        <w:spacing w:before="5" w:line="360" w:lineRule="auto"/>
        <w:ind w:left="30" w:right="39" w:firstLine="673"/>
        <w:rPr>
          <w:rFonts w:ascii="仿宋" w:hAnsi="仿宋" w:eastAsia="仿宋" w:cs="仿宋"/>
          <w:spacing w:val="-8"/>
          <w:szCs w:val="30"/>
        </w:rPr>
      </w:pPr>
      <w:r>
        <w:rPr>
          <w:rFonts w:hint="eastAsia" w:ascii="仿宋" w:hAnsi="仿宋" w:eastAsia="仿宋" w:cs="仿宋"/>
          <w:spacing w:val="-8"/>
          <w:szCs w:val="30"/>
        </w:rPr>
        <w:t>建设用地的规划条件包括出让地块的位置、面积、用地性质、兼容用地性质及比例、建设内容、容积率、绿地率、建筑高度、建筑密度、计容总建筑面积、配套设施要求、建筑退让要求、建筑间距要求、场地与道路竖向要求和城市设计要求等内容，规划条件附图应在</w:t>
      </w:r>
      <w:r>
        <w:rPr>
          <w:rFonts w:ascii="仿宋" w:hAnsi="仿宋" w:eastAsia="仿宋" w:cs="仿宋"/>
          <w:spacing w:val="-8"/>
          <w:szCs w:val="30"/>
        </w:rPr>
        <w:t>1:1000精度以上地形图上绘制。</w:t>
      </w:r>
      <w:r>
        <w:rPr>
          <w:rFonts w:hint="eastAsia" w:ascii="仿宋" w:hAnsi="仿宋" w:eastAsia="仿宋" w:cs="仿宋"/>
          <w:spacing w:val="-8"/>
          <w:szCs w:val="30"/>
        </w:rPr>
        <w:t>同时需满足以下要求：</w:t>
      </w:r>
    </w:p>
    <w:p>
      <w:pPr>
        <w:spacing w:before="5" w:line="360" w:lineRule="auto"/>
        <w:ind w:left="30" w:right="39" w:firstLine="673"/>
        <w:rPr>
          <w:rFonts w:ascii="仿宋" w:hAnsi="仿宋" w:eastAsia="仿宋" w:cs="仿宋"/>
          <w:spacing w:val="-8"/>
          <w:szCs w:val="30"/>
        </w:rPr>
      </w:pPr>
      <w:r>
        <w:rPr>
          <w:rFonts w:hint="eastAsia" w:ascii="仿宋" w:hAnsi="仿宋" w:eastAsia="仿宋" w:cs="仿宋"/>
          <w:spacing w:val="-8"/>
          <w:szCs w:val="30"/>
        </w:rPr>
        <w:t>（1）居住用地的容积率设定</w:t>
      </w:r>
      <w:r>
        <w:rPr>
          <w:rFonts w:hint="eastAsia" w:ascii="仿宋" w:hAnsi="仿宋" w:eastAsia="仿宋" w:cs="仿宋"/>
          <w:spacing w:val="-8"/>
          <w:szCs w:val="30"/>
          <w:lang w:val="en-US" w:eastAsia="zh-CN"/>
        </w:rPr>
        <w:t>大于</w:t>
      </w:r>
      <w:r>
        <w:rPr>
          <w:rFonts w:ascii="仿宋" w:hAnsi="仿宋" w:eastAsia="仿宋" w:cs="仿宋"/>
          <w:spacing w:val="-8"/>
          <w:szCs w:val="30"/>
        </w:rPr>
        <w:t>1.0</w:t>
      </w:r>
      <w:r>
        <w:rPr>
          <w:rFonts w:hint="eastAsia" w:ascii="仿宋" w:hAnsi="仿宋" w:eastAsia="仿宋" w:cs="仿宋"/>
          <w:spacing w:val="-8"/>
          <w:szCs w:val="30"/>
          <w:lang w:val="en-US" w:eastAsia="zh-CN"/>
        </w:rPr>
        <w:t>且小于等于3.0</w:t>
      </w:r>
      <w:r>
        <w:rPr>
          <w:rFonts w:ascii="仿宋" w:hAnsi="仿宋" w:eastAsia="仿宋" w:cs="仿宋"/>
          <w:spacing w:val="-8"/>
          <w:szCs w:val="30"/>
        </w:rPr>
        <w:t>，配套商业服务设施所占比例不超过地块计容总建筑面积7%，新建住宅小区按每百户不低于20平方米，旧城区和已建住宅小区按每百户不低于15平方米的标准配套建设养老服务设施。</w:t>
      </w:r>
    </w:p>
    <w:p>
      <w:pPr>
        <w:spacing w:before="5" w:line="440" w:lineRule="exact"/>
        <w:ind w:right="40"/>
        <w:rPr>
          <w:rFonts w:ascii="仿宋" w:hAnsi="仿宋" w:eastAsia="仿宋" w:cs="仿宋"/>
          <w:i/>
          <w:iCs/>
          <w:spacing w:val="-8"/>
          <w:sz w:val="24"/>
          <w:szCs w:val="24"/>
        </w:rPr>
      </w:pPr>
      <w:r>
        <w:rPr>
          <w:rFonts w:hint="eastAsia" w:ascii="仿宋" w:hAnsi="仿宋" w:eastAsia="仿宋" w:cs="仿宋"/>
          <w:i/>
          <w:iCs/>
          <w:spacing w:val="-8"/>
          <w:sz w:val="24"/>
          <w:szCs w:val="24"/>
        </w:rPr>
        <w:t>备注：居住用地容积率按原《惠来县历史建设用地未约定规划条件的处理意见》控制，配套商业服务设施比例7</w:t>
      </w:r>
      <w:r>
        <w:rPr>
          <w:rFonts w:ascii="仿宋" w:hAnsi="仿宋" w:eastAsia="仿宋" w:cs="仿宋"/>
          <w:i/>
          <w:iCs/>
          <w:spacing w:val="-8"/>
          <w:sz w:val="24"/>
          <w:szCs w:val="24"/>
        </w:rPr>
        <w:t>%</w:t>
      </w:r>
      <w:r>
        <w:rPr>
          <w:rFonts w:hint="eastAsia" w:ascii="仿宋" w:hAnsi="仿宋" w:eastAsia="仿宋" w:cs="仿宋"/>
          <w:i/>
          <w:iCs/>
          <w:spacing w:val="-8"/>
          <w:sz w:val="24"/>
          <w:szCs w:val="24"/>
        </w:rPr>
        <w:t>，一是依据《国务院批转全国商业厅局长座谈会汇报提纲的通知》</w:t>
      </w:r>
      <w:r>
        <w:rPr>
          <w:rFonts w:ascii="仿宋" w:hAnsi="仿宋" w:eastAsia="仿宋" w:cs="仿宋"/>
          <w:i/>
          <w:iCs/>
          <w:spacing w:val="-8"/>
          <w:sz w:val="24"/>
          <w:szCs w:val="24"/>
        </w:rPr>
        <w:t>(国发〔1981〕103号)，城市新建居民住宅，应有7%左右的面积作为商业用房</w:t>
      </w:r>
      <w:r>
        <w:rPr>
          <w:rFonts w:hint="eastAsia" w:ascii="仿宋" w:hAnsi="仿宋" w:eastAsia="仿宋" w:cs="仿宋"/>
          <w:i/>
          <w:iCs/>
          <w:spacing w:val="-8"/>
          <w:sz w:val="24"/>
          <w:szCs w:val="24"/>
        </w:rPr>
        <w:t>；二是参照揭阳市和惠来县近期出让项目确定。养老设施要求是落实2</w:t>
      </w:r>
      <w:r>
        <w:rPr>
          <w:rFonts w:ascii="仿宋" w:hAnsi="仿宋" w:eastAsia="仿宋" w:cs="仿宋"/>
          <w:i/>
          <w:iCs/>
          <w:spacing w:val="-8"/>
          <w:sz w:val="24"/>
          <w:szCs w:val="24"/>
        </w:rPr>
        <w:t>021</w:t>
      </w:r>
      <w:r>
        <w:rPr>
          <w:rFonts w:hint="eastAsia" w:ascii="仿宋" w:hAnsi="仿宋" w:eastAsia="仿宋" w:cs="仿宋"/>
          <w:i/>
          <w:iCs/>
          <w:spacing w:val="-8"/>
          <w:sz w:val="24"/>
          <w:szCs w:val="24"/>
        </w:rPr>
        <w:t>年《广东省自然资源厅</w:t>
      </w:r>
      <w:r>
        <w:rPr>
          <w:rFonts w:ascii="仿宋" w:hAnsi="仿宋" w:eastAsia="仿宋" w:cs="仿宋"/>
          <w:i/>
          <w:iCs/>
          <w:spacing w:val="-8"/>
          <w:sz w:val="24"/>
          <w:szCs w:val="24"/>
        </w:rPr>
        <w:t xml:space="preserve"> 广东省民政厅 广东省住房和城乡建设厅关于进一步加强养老服务设施规划建设和用地保障的通知</w:t>
      </w:r>
      <w:r>
        <w:rPr>
          <w:rFonts w:hint="eastAsia" w:ascii="仿宋" w:hAnsi="仿宋" w:eastAsia="仿宋" w:cs="仿宋"/>
          <w:i/>
          <w:iCs/>
          <w:spacing w:val="-8"/>
          <w:sz w:val="24"/>
          <w:szCs w:val="24"/>
        </w:rPr>
        <w:t>》的要求。</w:t>
      </w:r>
    </w:p>
    <w:p>
      <w:pPr>
        <w:spacing w:before="5" w:line="360" w:lineRule="auto"/>
        <w:ind w:left="30" w:right="39" w:firstLine="673"/>
        <w:rPr>
          <w:rFonts w:ascii="仿宋" w:hAnsi="仿宋" w:eastAsia="仿宋" w:cs="仿宋"/>
          <w:spacing w:val="-8"/>
          <w:szCs w:val="30"/>
        </w:rPr>
      </w:pPr>
      <w:r>
        <w:rPr>
          <w:rFonts w:hint="eastAsia" w:ascii="仿宋" w:hAnsi="仿宋" w:eastAsia="仿宋" w:cs="仿宋"/>
          <w:spacing w:val="-8"/>
          <w:szCs w:val="30"/>
        </w:rPr>
        <w:t>（2）工业用地的容积率设定不得低于行业确定的最低标准，所需行政办公及生活服务设施用地面积不得超过项目总用地面积的</w:t>
      </w:r>
      <w:r>
        <w:rPr>
          <w:rFonts w:ascii="仿宋" w:hAnsi="仿宋" w:eastAsia="仿宋" w:cs="仿宋"/>
          <w:spacing w:val="-8"/>
          <w:szCs w:val="30"/>
        </w:rPr>
        <w:t>7%，</w:t>
      </w:r>
      <w:r>
        <w:rPr>
          <w:rFonts w:hint="eastAsia" w:ascii="仿宋" w:hAnsi="仿宋" w:eastAsia="仿宋" w:cs="仿宋"/>
          <w:spacing w:val="-8"/>
          <w:szCs w:val="30"/>
        </w:rPr>
        <w:t>生产服务、行政办公、生活服务设施</w:t>
      </w:r>
      <w:r>
        <w:rPr>
          <w:rFonts w:ascii="仿宋" w:hAnsi="仿宋" w:eastAsia="仿宋" w:cs="仿宋"/>
          <w:spacing w:val="-8"/>
          <w:szCs w:val="30"/>
        </w:rPr>
        <w:t>建筑面积不超过</w:t>
      </w:r>
      <w:r>
        <w:rPr>
          <w:rFonts w:hint="eastAsia" w:ascii="仿宋" w:hAnsi="仿宋" w:eastAsia="仿宋" w:cs="仿宋"/>
          <w:spacing w:val="-8"/>
          <w:szCs w:val="30"/>
        </w:rPr>
        <w:t>项目</w:t>
      </w:r>
      <w:r>
        <w:rPr>
          <w:rFonts w:ascii="仿宋" w:hAnsi="仿宋" w:eastAsia="仿宋" w:cs="仿宋"/>
          <w:spacing w:val="-8"/>
          <w:szCs w:val="30"/>
        </w:rPr>
        <w:t>总建筑面积的</w:t>
      </w:r>
      <w:r>
        <w:rPr>
          <w:rFonts w:hint="eastAsia" w:ascii="仿宋" w:hAnsi="仿宋" w:eastAsia="仿宋" w:cs="仿宋"/>
          <w:spacing w:val="-8"/>
          <w:szCs w:val="30"/>
        </w:rPr>
        <w:t>1</w:t>
      </w:r>
      <w:r>
        <w:rPr>
          <w:rFonts w:ascii="仿宋" w:hAnsi="仿宋" w:eastAsia="仿宋" w:cs="仿宋"/>
          <w:spacing w:val="-8"/>
          <w:szCs w:val="30"/>
        </w:rPr>
        <w:t>5%。严禁在工业项目用地范围内建造成套住宅、专家楼、宾馆、招待所和培训中心等非生产性配套设施。</w:t>
      </w:r>
    </w:p>
    <w:p>
      <w:pPr>
        <w:spacing w:before="5" w:line="440" w:lineRule="exact"/>
        <w:ind w:right="40"/>
        <w:rPr>
          <w:rFonts w:ascii="仿宋" w:hAnsi="仿宋" w:eastAsia="仿宋" w:cs="仿宋"/>
          <w:i/>
          <w:iCs/>
          <w:spacing w:val="-8"/>
          <w:sz w:val="24"/>
          <w:szCs w:val="24"/>
        </w:rPr>
      </w:pPr>
      <w:r>
        <w:rPr>
          <w:rFonts w:hint="eastAsia" w:ascii="仿宋" w:hAnsi="仿宋" w:eastAsia="仿宋" w:cs="仿宋"/>
          <w:i/>
          <w:iCs/>
          <w:spacing w:val="-8"/>
          <w:sz w:val="24"/>
          <w:szCs w:val="24"/>
        </w:rPr>
        <w:t>备注：惠来目前工业用地的规划条件一般为：行政办公及生活服务设施用地面积不得超过工业项目总用地面积的</w:t>
      </w:r>
      <w:r>
        <w:rPr>
          <w:rFonts w:ascii="仿宋" w:hAnsi="仿宋" w:eastAsia="仿宋" w:cs="仿宋"/>
          <w:i/>
          <w:iCs/>
          <w:spacing w:val="-8"/>
          <w:sz w:val="24"/>
          <w:szCs w:val="24"/>
        </w:rPr>
        <w:t>7%，计容建筑面积</w:t>
      </w:r>
      <w:r>
        <w:rPr>
          <w:rFonts w:hint="eastAsia" w:ascii="仿宋" w:hAnsi="仿宋" w:eastAsia="仿宋" w:cs="仿宋"/>
          <w:i/>
          <w:iCs/>
          <w:spacing w:val="-8"/>
          <w:sz w:val="24"/>
          <w:szCs w:val="24"/>
        </w:rPr>
        <w:t>同样</w:t>
      </w:r>
      <w:r>
        <w:rPr>
          <w:rFonts w:ascii="仿宋" w:hAnsi="仿宋" w:eastAsia="仿宋" w:cs="仿宋"/>
          <w:i/>
          <w:iCs/>
          <w:spacing w:val="-8"/>
          <w:sz w:val="24"/>
          <w:szCs w:val="24"/>
        </w:rPr>
        <w:t>不超过计容总建筑面积的</w:t>
      </w:r>
      <w:r>
        <w:rPr>
          <w:rFonts w:hint="eastAsia" w:ascii="仿宋" w:hAnsi="仿宋" w:eastAsia="仿宋" w:cs="仿宋"/>
          <w:i/>
          <w:iCs/>
          <w:spacing w:val="-8"/>
          <w:sz w:val="24"/>
          <w:szCs w:val="24"/>
        </w:rPr>
        <w:t>7</w:t>
      </w:r>
      <w:r>
        <w:rPr>
          <w:rFonts w:ascii="仿宋" w:hAnsi="仿宋" w:eastAsia="仿宋" w:cs="仿宋"/>
          <w:i/>
          <w:iCs/>
          <w:spacing w:val="-8"/>
          <w:sz w:val="24"/>
          <w:szCs w:val="24"/>
        </w:rPr>
        <w:t>%。</w:t>
      </w:r>
      <w:r>
        <w:rPr>
          <w:rFonts w:hint="eastAsia" w:ascii="仿宋" w:hAnsi="仿宋" w:eastAsia="仿宋" w:cs="仿宋"/>
          <w:i/>
          <w:iCs/>
          <w:spacing w:val="-8"/>
          <w:sz w:val="24"/>
          <w:szCs w:val="24"/>
        </w:rPr>
        <w:t>行政办公及生活服务设施用地面积不得超过工业项目总用地面积的</w:t>
      </w:r>
      <w:r>
        <w:rPr>
          <w:rFonts w:ascii="仿宋" w:hAnsi="仿宋" w:eastAsia="仿宋" w:cs="仿宋"/>
          <w:i/>
          <w:iCs/>
          <w:spacing w:val="-8"/>
          <w:sz w:val="24"/>
          <w:szCs w:val="24"/>
        </w:rPr>
        <w:t>7%</w:t>
      </w:r>
      <w:r>
        <w:rPr>
          <w:rFonts w:hint="eastAsia" w:ascii="仿宋" w:hAnsi="仿宋" w:eastAsia="仿宋" w:cs="仿宋"/>
          <w:i/>
          <w:iCs/>
          <w:spacing w:val="-8"/>
          <w:sz w:val="24"/>
          <w:szCs w:val="24"/>
        </w:rPr>
        <w:t>为《工业项目建设用地控制指标》要求，但</w:t>
      </w:r>
      <w:r>
        <w:rPr>
          <w:rFonts w:ascii="仿宋" w:hAnsi="仿宋" w:eastAsia="仿宋" w:cs="仿宋"/>
          <w:i/>
          <w:iCs/>
          <w:spacing w:val="-8"/>
          <w:sz w:val="24"/>
          <w:szCs w:val="24"/>
        </w:rPr>
        <w:t>计容建筑面积</w:t>
      </w:r>
      <w:r>
        <w:rPr>
          <w:rFonts w:hint="eastAsia" w:ascii="仿宋" w:hAnsi="仿宋" w:eastAsia="仿宋" w:cs="仿宋"/>
          <w:i/>
          <w:iCs/>
          <w:spacing w:val="-8"/>
          <w:sz w:val="24"/>
          <w:szCs w:val="24"/>
        </w:rPr>
        <w:t>并未明确规定。考虑惠来县如LNG、风电、装备制造、油库等重大产业项目较多，</w:t>
      </w:r>
      <w:r>
        <w:rPr>
          <w:rFonts w:ascii="仿宋" w:hAnsi="仿宋" w:eastAsia="仿宋" w:cs="仿宋"/>
          <w:i/>
          <w:iCs/>
          <w:spacing w:val="-8"/>
          <w:sz w:val="24"/>
          <w:szCs w:val="24"/>
        </w:rPr>
        <w:t>计容</w:t>
      </w:r>
      <w:r>
        <w:rPr>
          <w:rFonts w:hint="eastAsia" w:ascii="仿宋" w:hAnsi="仿宋" w:eastAsia="仿宋" w:cs="仿宋"/>
          <w:i/>
          <w:iCs/>
          <w:spacing w:val="-8"/>
          <w:sz w:val="24"/>
          <w:szCs w:val="24"/>
        </w:rPr>
        <w:t>总</w:t>
      </w:r>
      <w:r>
        <w:rPr>
          <w:rFonts w:ascii="仿宋" w:hAnsi="仿宋" w:eastAsia="仿宋" w:cs="仿宋"/>
          <w:i/>
          <w:iCs/>
          <w:spacing w:val="-8"/>
          <w:sz w:val="24"/>
          <w:szCs w:val="24"/>
        </w:rPr>
        <w:t>建筑面积</w:t>
      </w:r>
      <w:r>
        <w:rPr>
          <w:rFonts w:hint="eastAsia" w:ascii="仿宋" w:hAnsi="仿宋" w:eastAsia="仿宋" w:cs="仿宋"/>
          <w:i/>
          <w:iCs/>
          <w:spacing w:val="-8"/>
          <w:sz w:val="24"/>
          <w:szCs w:val="24"/>
        </w:rPr>
        <w:t>一般较低且办公建筑占比较大，应适当放宽</w:t>
      </w:r>
      <w:r>
        <w:rPr>
          <w:rFonts w:ascii="仿宋" w:hAnsi="仿宋" w:eastAsia="仿宋" w:cs="仿宋"/>
          <w:i/>
          <w:iCs/>
          <w:spacing w:val="-8"/>
          <w:sz w:val="24"/>
          <w:szCs w:val="24"/>
        </w:rPr>
        <w:t>计容建筑面积</w:t>
      </w:r>
      <w:r>
        <w:rPr>
          <w:rFonts w:hint="eastAsia" w:ascii="仿宋" w:hAnsi="仿宋" w:eastAsia="仿宋" w:cs="仿宋"/>
          <w:i/>
          <w:iCs/>
          <w:spacing w:val="-8"/>
          <w:sz w:val="24"/>
          <w:szCs w:val="24"/>
        </w:rPr>
        <w:t>比例要求，满足项目实际建设需要。参照《广东省产业用地政策实施工作指引（</w:t>
      </w:r>
      <w:r>
        <w:rPr>
          <w:rFonts w:ascii="仿宋" w:hAnsi="仿宋" w:eastAsia="仿宋" w:cs="仿宋"/>
          <w:i/>
          <w:iCs/>
          <w:spacing w:val="-8"/>
          <w:sz w:val="24"/>
          <w:szCs w:val="24"/>
        </w:rPr>
        <w:t>2019年版）</w:t>
      </w:r>
      <w:r>
        <w:rPr>
          <w:rFonts w:hint="eastAsia" w:ascii="仿宋" w:hAnsi="仿宋" w:eastAsia="仿宋" w:cs="仿宋"/>
          <w:i/>
          <w:iCs/>
          <w:spacing w:val="-8"/>
          <w:sz w:val="24"/>
          <w:szCs w:val="24"/>
        </w:rPr>
        <w:t>》相关要求，建议该比例控制在1</w:t>
      </w:r>
      <w:r>
        <w:rPr>
          <w:rFonts w:ascii="仿宋" w:hAnsi="仿宋" w:eastAsia="仿宋" w:cs="仿宋"/>
          <w:i/>
          <w:iCs/>
          <w:spacing w:val="-8"/>
          <w:sz w:val="24"/>
          <w:szCs w:val="24"/>
        </w:rPr>
        <w:t>5%</w:t>
      </w:r>
      <w:r>
        <w:rPr>
          <w:rFonts w:hint="eastAsia" w:ascii="仿宋" w:hAnsi="仿宋" w:eastAsia="仿宋" w:cs="仿宋"/>
          <w:i/>
          <w:iCs/>
          <w:spacing w:val="-8"/>
          <w:sz w:val="24"/>
          <w:szCs w:val="24"/>
        </w:rPr>
        <w:t>以下，其他要求均为自然资源部《工业项目建设用地控制指标》相关要求。</w:t>
      </w:r>
    </w:p>
    <w:p>
      <w:pPr>
        <w:pStyle w:val="9"/>
        <w:spacing w:before="5" w:line="360" w:lineRule="auto"/>
        <w:ind w:left="703" w:right="39" w:firstLine="0" w:firstLineChars="0"/>
        <w:rPr>
          <w:rFonts w:ascii="仿宋" w:hAnsi="仿宋" w:eastAsia="仿宋" w:cs="仿宋"/>
          <w:spacing w:val="-8"/>
          <w:szCs w:val="30"/>
        </w:rPr>
      </w:pPr>
      <w:r>
        <w:rPr>
          <w:rFonts w:hint="eastAsia" w:ascii="仿宋" w:hAnsi="仿宋" w:eastAsia="仿宋" w:cs="仿宋"/>
          <w:spacing w:val="-8"/>
          <w:szCs w:val="30"/>
        </w:rPr>
        <w:t>3</w:t>
      </w:r>
      <w:r>
        <w:rPr>
          <w:rFonts w:ascii="仿宋" w:hAnsi="仿宋" w:eastAsia="仿宋" w:cs="仿宋"/>
          <w:spacing w:val="-8"/>
          <w:szCs w:val="30"/>
        </w:rPr>
        <w:t xml:space="preserve">. </w:t>
      </w:r>
      <w:r>
        <w:rPr>
          <w:rFonts w:hint="eastAsia" w:ascii="仿宋" w:hAnsi="仿宋" w:eastAsia="仿宋" w:cs="仿宋"/>
          <w:spacing w:val="-8"/>
          <w:szCs w:val="30"/>
        </w:rPr>
        <w:t>增缴历史建设用地的土地价款</w:t>
      </w:r>
    </w:p>
    <w:p>
      <w:pPr>
        <w:spacing w:before="5" w:line="360" w:lineRule="auto"/>
        <w:ind w:left="30" w:right="39" w:firstLine="673"/>
        <w:rPr>
          <w:rFonts w:hint="eastAsia" w:ascii="仿宋" w:hAnsi="仿宋" w:eastAsia="仿宋" w:cs="仿宋"/>
          <w:spacing w:val="-8"/>
          <w:szCs w:val="30"/>
          <w:lang w:eastAsia="zh-CN"/>
        </w:rPr>
      </w:pPr>
      <w:r>
        <w:rPr>
          <w:rFonts w:hint="eastAsia" w:ascii="仿宋" w:hAnsi="仿宋" w:eastAsia="仿宋" w:cs="仿宋"/>
          <w:spacing w:val="-8"/>
          <w:szCs w:val="30"/>
        </w:rPr>
        <w:t>对需设定规划条件</w:t>
      </w:r>
      <w:r>
        <w:rPr>
          <w:rFonts w:hint="eastAsia" w:ascii="仿宋" w:hAnsi="仿宋" w:eastAsia="仿宋" w:cs="仿宋"/>
          <w:spacing w:val="-8"/>
          <w:szCs w:val="30"/>
          <w:lang w:val="en-US" w:eastAsia="zh-CN"/>
        </w:rPr>
        <w:t>且尚未开发建设</w:t>
      </w:r>
      <w:r>
        <w:rPr>
          <w:rFonts w:hint="eastAsia" w:ascii="仿宋" w:hAnsi="仿宋" w:eastAsia="仿宋" w:cs="仿宋"/>
          <w:spacing w:val="-8"/>
          <w:szCs w:val="30"/>
        </w:rPr>
        <w:t>的历史建设用地</w:t>
      </w:r>
      <w:r>
        <w:rPr>
          <w:rFonts w:hint="eastAsia" w:ascii="仿宋" w:hAnsi="仿宋" w:eastAsia="仿宋" w:cs="仿宋"/>
          <w:spacing w:val="-8"/>
          <w:szCs w:val="30"/>
          <w:lang w:eastAsia="zh-CN"/>
        </w:rPr>
        <w:t>（</w:t>
      </w:r>
      <w:r>
        <w:rPr>
          <w:rFonts w:hint="eastAsia" w:ascii="仿宋" w:hAnsi="仿宋" w:eastAsia="仿宋" w:cs="仿宋"/>
          <w:spacing w:val="-8"/>
          <w:szCs w:val="30"/>
          <w:lang w:val="en-US" w:eastAsia="zh-CN"/>
        </w:rPr>
        <w:t>企业原因造成闲置的土地除外</w:t>
      </w:r>
      <w:r>
        <w:rPr>
          <w:rFonts w:hint="eastAsia" w:ascii="仿宋" w:hAnsi="仿宋" w:eastAsia="仿宋" w:cs="仿宋"/>
          <w:spacing w:val="-8"/>
          <w:szCs w:val="30"/>
          <w:lang w:eastAsia="zh-CN"/>
        </w:rPr>
        <w:t>）</w:t>
      </w:r>
      <w:r>
        <w:rPr>
          <w:rFonts w:hint="eastAsia" w:ascii="仿宋" w:hAnsi="仿宋" w:eastAsia="仿宋" w:cs="仿宋"/>
          <w:spacing w:val="-8"/>
          <w:szCs w:val="30"/>
        </w:rPr>
        <w:t>，建设用地未约定容积率的均以2.0作为“基准容积率”认定，新设定容积率不大于2.0的，不需增缴土地价款；新设定容积率大于2.0的，超2.0部分需对土地价值进行市场评估，建设单位应按规定增缴土地价款，工业用地、中小企业仓储用地容积率设定大于2.0的除外</w:t>
      </w:r>
      <w:r>
        <w:rPr>
          <w:rFonts w:hint="eastAsia" w:ascii="仿宋" w:hAnsi="仿宋" w:eastAsia="仿宋" w:cs="仿宋"/>
          <w:spacing w:val="-8"/>
          <w:szCs w:val="30"/>
          <w:lang w:eastAsia="zh-CN"/>
        </w:rPr>
        <w:t>。</w:t>
      </w:r>
    </w:p>
    <w:p>
      <w:pPr>
        <w:spacing w:before="5" w:line="360" w:lineRule="auto"/>
        <w:ind w:left="30" w:right="39" w:firstLine="673"/>
        <w:rPr>
          <w:rFonts w:ascii="仿宋" w:hAnsi="仿宋" w:eastAsia="仿宋" w:cs="仿宋"/>
          <w:i/>
          <w:iCs/>
          <w:spacing w:val="-8"/>
          <w:sz w:val="24"/>
          <w:szCs w:val="24"/>
        </w:rPr>
      </w:pPr>
      <w:r>
        <w:rPr>
          <w:rFonts w:hint="eastAsia" w:ascii="仿宋" w:hAnsi="仿宋" w:eastAsia="仿宋" w:cs="仿宋"/>
          <w:i/>
          <w:iCs/>
          <w:spacing w:val="-8"/>
          <w:sz w:val="24"/>
          <w:szCs w:val="24"/>
        </w:rPr>
        <w:t>备注：</w:t>
      </w:r>
      <w:r>
        <w:rPr>
          <w:rFonts w:ascii="仿宋" w:hAnsi="仿宋" w:eastAsia="仿宋" w:cs="仿宋"/>
          <w:i/>
          <w:iCs/>
          <w:spacing w:val="-8"/>
          <w:sz w:val="24"/>
          <w:szCs w:val="24"/>
        </w:rPr>
        <w:t>根据自然资源部颁布的《节约集约利用土地规定》和《广东省自然资源厅、广东省发展和改革委员会、广东省工业和信息厅、广东省住房和城乡建设厅、广东省生态环境厅、广东省市场监督管理局关于印发进一步降低用地成本促进中小企业发展若干政策措施的通知》（粤自然资规字[2019]8号）精神，工业用地、中小企业仓储用地容积率调整后大于2.0的，不需增缴土地价款。</w:t>
      </w:r>
    </w:p>
    <w:p>
      <w:pPr>
        <w:pStyle w:val="9"/>
        <w:numPr>
          <w:ilvl w:val="0"/>
          <w:numId w:val="1"/>
        </w:numPr>
        <w:spacing w:before="2" w:line="366" w:lineRule="auto"/>
        <w:ind w:right="250" w:firstLineChars="0"/>
        <w:jc w:val="left"/>
        <w:rPr>
          <w:rFonts w:ascii="楷体" w:hAnsi="楷体" w:eastAsia="楷体" w:cs="楷体"/>
          <w:spacing w:val="-2"/>
          <w:sz w:val="32"/>
          <w:szCs w:val="32"/>
        </w:rPr>
      </w:pPr>
      <w:r>
        <w:rPr>
          <w:rFonts w:hint="eastAsia" w:ascii="楷体" w:hAnsi="楷体" w:eastAsia="楷体" w:cs="楷体"/>
          <w:spacing w:val="-2"/>
          <w:sz w:val="32"/>
          <w:szCs w:val="32"/>
        </w:rPr>
        <w:t>依法完善司法拍卖宗地用地手续</w:t>
      </w:r>
    </w:p>
    <w:p>
      <w:pPr>
        <w:spacing w:before="5" w:line="360" w:lineRule="auto"/>
        <w:ind w:left="30" w:right="39" w:firstLine="673"/>
        <w:rPr>
          <w:rFonts w:ascii="仿宋" w:hAnsi="仿宋" w:eastAsia="仿宋" w:cs="仿宋"/>
          <w:spacing w:val="-8"/>
          <w:szCs w:val="30"/>
        </w:rPr>
      </w:pPr>
      <w:r>
        <w:rPr>
          <w:rFonts w:hint="eastAsia" w:ascii="仿宋" w:hAnsi="仿宋" w:eastAsia="仿宋" w:cs="仿宋"/>
          <w:spacing w:val="-8"/>
          <w:szCs w:val="30"/>
        </w:rPr>
        <w:t>对于拟进行司法拍卖的国有建设用地，国有权属无争议的，县自然资源主管部门应依据详细规划或规划条件论证，及时提供建设用地规划条件，作为司法拍卖的评估依据，司法部门不采纳的，政府可对规划条件进行事先公告，保障拍卖宗地后续相关用地手续办理。已进行司法拍卖宗地为规划条件不完善的历史建设用地的，按意见第二条进行处理。</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48353113"/>
      <w:docPartObj>
        <w:docPartGallery w:val="autotext"/>
      </w:docPartObj>
    </w:sdtPr>
    <w:sdtContent>
      <w:p>
        <w:pPr>
          <w:pStyle w:val="5"/>
          <w:jc w:val="center"/>
        </w:pPr>
        <w:r>
          <w:fldChar w:fldCharType="begin"/>
        </w:r>
        <w:r>
          <w:instrText xml:space="preserve">PAGE   \* MERGEFORMAT</w:instrText>
        </w:r>
        <w:r>
          <w:fldChar w:fldCharType="separate"/>
        </w:r>
        <w:r>
          <w:rPr>
            <w:lang w:val="zh-CN"/>
          </w:rPr>
          <w:t>2</w:t>
        </w:r>
        <w:r>
          <w:fldChar w:fldCharType="end"/>
        </w:r>
      </w:p>
    </w:sdtContent>
  </w:sdt>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F919B5"/>
    <w:multiLevelType w:val="multilevel"/>
    <w:tmpl w:val="0AF919B5"/>
    <w:lvl w:ilvl="0" w:tentative="0">
      <w:start w:val="1"/>
      <w:numFmt w:val="chineseCountingThousand"/>
      <w:lvlText w:val="(%1)"/>
      <w:lvlJc w:val="left"/>
      <w:pPr>
        <w:ind w:left="1087" w:hanging="420"/>
      </w:pPr>
    </w:lvl>
    <w:lvl w:ilvl="1" w:tentative="0">
      <w:start w:val="1"/>
      <w:numFmt w:val="lowerLetter"/>
      <w:lvlText w:val="%2)"/>
      <w:lvlJc w:val="left"/>
      <w:pPr>
        <w:ind w:left="1507" w:hanging="420"/>
      </w:pPr>
    </w:lvl>
    <w:lvl w:ilvl="2" w:tentative="0">
      <w:start w:val="1"/>
      <w:numFmt w:val="lowerRoman"/>
      <w:lvlText w:val="%3."/>
      <w:lvlJc w:val="right"/>
      <w:pPr>
        <w:ind w:left="1927" w:hanging="420"/>
      </w:pPr>
    </w:lvl>
    <w:lvl w:ilvl="3" w:tentative="0">
      <w:start w:val="1"/>
      <w:numFmt w:val="decimal"/>
      <w:lvlText w:val="%4."/>
      <w:lvlJc w:val="left"/>
      <w:pPr>
        <w:ind w:left="2347" w:hanging="420"/>
      </w:pPr>
    </w:lvl>
    <w:lvl w:ilvl="4" w:tentative="0">
      <w:start w:val="1"/>
      <w:numFmt w:val="lowerLetter"/>
      <w:lvlText w:val="%5)"/>
      <w:lvlJc w:val="left"/>
      <w:pPr>
        <w:ind w:left="2767" w:hanging="420"/>
      </w:pPr>
    </w:lvl>
    <w:lvl w:ilvl="5" w:tentative="0">
      <w:start w:val="1"/>
      <w:numFmt w:val="lowerRoman"/>
      <w:lvlText w:val="%6."/>
      <w:lvlJc w:val="right"/>
      <w:pPr>
        <w:ind w:left="3187" w:hanging="420"/>
      </w:pPr>
    </w:lvl>
    <w:lvl w:ilvl="6" w:tentative="0">
      <w:start w:val="1"/>
      <w:numFmt w:val="decimal"/>
      <w:lvlText w:val="%7."/>
      <w:lvlJc w:val="left"/>
      <w:pPr>
        <w:ind w:left="3607" w:hanging="420"/>
      </w:pPr>
    </w:lvl>
    <w:lvl w:ilvl="7" w:tentative="0">
      <w:start w:val="1"/>
      <w:numFmt w:val="lowerLetter"/>
      <w:lvlText w:val="%8)"/>
      <w:lvlJc w:val="left"/>
      <w:pPr>
        <w:ind w:left="4027" w:hanging="420"/>
      </w:pPr>
    </w:lvl>
    <w:lvl w:ilvl="8" w:tentative="0">
      <w:start w:val="1"/>
      <w:numFmt w:val="lowerRoman"/>
      <w:lvlText w:val="%9."/>
      <w:lvlJc w:val="right"/>
      <w:pPr>
        <w:ind w:left="444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ZiNDg0Y2QzNzcwNjMyYjQyZDE1MzEwYWU5NmI5MDUifQ=="/>
  </w:docVars>
  <w:rsids>
    <w:rsidRoot w:val="00F55CD2"/>
    <w:rsid w:val="00011407"/>
    <w:rsid w:val="00012459"/>
    <w:rsid w:val="00016818"/>
    <w:rsid w:val="0002214D"/>
    <w:rsid w:val="00023A4E"/>
    <w:rsid w:val="000B4D9B"/>
    <w:rsid w:val="000C2B8C"/>
    <w:rsid w:val="000E2940"/>
    <w:rsid w:val="000E7BFA"/>
    <w:rsid w:val="000F5FDE"/>
    <w:rsid w:val="00112B26"/>
    <w:rsid w:val="0016750A"/>
    <w:rsid w:val="00182133"/>
    <w:rsid w:val="001B555A"/>
    <w:rsid w:val="001C2746"/>
    <w:rsid w:val="00212FFE"/>
    <w:rsid w:val="0023741F"/>
    <w:rsid w:val="0025013F"/>
    <w:rsid w:val="002651C9"/>
    <w:rsid w:val="00290318"/>
    <w:rsid w:val="002C27F7"/>
    <w:rsid w:val="002C6219"/>
    <w:rsid w:val="002D2AEC"/>
    <w:rsid w:val="002E62A6"/>
    <w:rsid w:val="00300EE0"/>
    <w:rsid w:val="00323AAE"/>
    <w:rsid w:val="0034246C"/>
    <w:rsid w:val="00363ECC"/>
    <w:rsid w:val="00374DFC"/>
    <w:rsid w:val="00377F4B"/>
    <w:rsid w:val="003846E3"/>
    <w:rsid w:val="00385D4C"/>
    <w:rsid w:val="003A390C"/>
    <w:rsid w:val="003B41A0"/>
    <w:rsid w:val="003C2CDB"/>
    <w:rsid w:val="003C7E5A"/>
    <w:rsid w:val="003F386D"/>
    <w:rsid w:val="00402A0B"/>
    <w:rsid w:val="00472C83"/>
    <w:rsid w:val="00474EBF"/>
    <w:rsid w:val="00476E45"/>
    <w:rsid w:val="00486500"/>
    <w:rsid w:val="004B7DC6"/>
    <w:rsid w:val="004C09CC"/>
    <w:rsid w:val="004E75C9"/>
    <w:rsid w:val="00563624"/>
    <w:rsid w:val="00567C25"/>
    <w:rsid w:val="00581ABB"/>
    <w:rsid w:val="005A4061"/>
    <w:rsid w:val="005B4935"/>
    <w:rsid w:val="005C0F6C"/>
    <w:rsid w:val="005D21A3"/>
    <w:rsid w:val="005F2FB9"/>
    <w:rsid w:val="00611EE4"/>
    <w:rsid w:val="00633E2C"/>
    <w:rsid w:val="00642C22"/>
    <w:rsid w:val="0066243B"/>
    <w:rsid w:val="00670262"/>
    <w:rsid w:val="006E125C"/>
    <w:rsid w:val="006F423B"/>
    <w:rsid w:val="0073337D"/>
    <w:rsid w:val="00803A10"/>
    <w:rsid w:val="00822D71"/>
    <w:rsid w:val="008508CD"/>
    <w:rsid w:val="008573BD"/>
    <w:rsid w:val="00872ECA"/>
    <w:rsid w:val="008765AA"/>
    <w:rsid w:val="0088447A"/>
    <w:rsid w:val="008A5446"/>
    <w:rsid w:val="00900138"/>
    <w:rsid w:val="00906809"/>
    <w:rsid w:val="009246A4"/>
    <w:rsid w:val="00925B52"/>
    <w:rsid w:val="00940E57"/>
    <w:rsid w:val="009440BD"/>
    <w:rsid w:val="00963BA2"/>
    <w:rsid w:val="0096627B"/>
    <w:rsid w:val="0097417D"/>
    <w:rsid w:val="00974F1D"/>
    <w:rsid w:val="00975602"/>
    <w:rsid w:val="00983023"/>
    <w:rsid w:val="00986BFF"/>
    <w:rsid w:val="00987B14"/>
    <w:rsid w:val="00997E15"/>
    <w:rsid w:val="009E4055"/>
    <w:rsid w:val="00A0208E"/>
    <w:rsid w:val="00A228B4"/>
    <w:rsid w:val="00A26491"/>
    <w:rsid w:val="00A56031"/>
    <w:rsid w:val="00AA725C"/>
    <w:rsid w:val="00AB0F75"/>
    <w:rsid w:val="00AD5C5F"/>
    <w:rsid w:val="00B22E24"/>
    <w:rsid w:val="00B43223"/>
    <w:rsid w:val="00B47A61"/>
    <w:rsid w:val="00B550EF"/>
    <w:rsid w:val="00B5615C"/>
    <w:rsid w:val="00B75B39"/>
    <w:rsid w:val="00B9721B"/>
    <w:rsid w:val="00BA308E"/>
    <w:rsid w:val="00BC35F3"/>
    <w:rsid w:val="00BE3377"/>
    <w:rsid w:val="00BE4AB5"/>
    <w:rsid w:val="00C36E1F"/>
    <w:rsid w:val="00C37C5F"/>
    <w:rsid w:val="00CA3C72"/>
    <w:rsid w:val="00CA6CD0"/>
    <w:rsid w:val="00CD55F4"/>
    <w:rsid w:val="00CE2349"/>
    <w:rsid w:val="00D032EB"/>
    <w:rsid w:val="00D051AF"/>
    <w:rsid w:val="00D64B72"/>
    <w:rsid w:val="00D927FA"/>
    <w:rsid w:val="00E00168"/>
    <w:rsid w:val="00E24CFE"/>
    <w:rsid w:val="00E33E13"/>
    <w:rsid w:val="00E514C9"/>
    <w:rsid w:val="00E53E85"/>
    <w:rsid w:val="00E54FC9"/>
    <w:rsid w:val="00E573F9"/>
    <w:rsid w:val="00E85CF8"/>
    <w:rsid w:val="00E90C49"/>
    <w:rsid w:val="00EB4F87"/>
    <w:rsid w:val="00F001A7"/>
    <w:rsid w:val="00F230CD"/>
    <w:rsid w:val="00F34183"/>
    <w:rsid w:val="00F4331E"/>
    <w:rsid w:val="00F50C2B"/>
    <w:rsid w:val="00F55CB9"/>
    <w:rsid w:val="00F55CD2"/>
    <w:rsid w:val="00F93E21"/>
    <w:rsid w:val="00FB61D4"/>
    <w:rsid w:val="03F878C4"/>
    <w:rsid w:val="241D0231"/>
    <w:rsid w:val="30437886"/>
    <w:rsid w:val="3379543E"/>
    <w:rsid w:val="349E044E"/>
    <w:rsid w:val="35531555"/>
    <w:rsid w:val="39551725"/>
    <w:rsid w:val="4A216DF6"/>
    <w:rsid w:val="669C67AF"/>
    <w:rsid w:val="6F1E4D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30"/>
      <w:szCs w:val="22"/>
      <w:lang w:val="en-US" w:eastAsia="zh-CN" w:bidi="ar-SA"/>
    </w:rPr>
  </w:style>
  <w:style w:type="paragraph" w:styleId="2">
    <w:name w:val="heading 1"/>
    <w:basedOn w:val="1"/>
    <w:next w:val="1"/>
    <w:link w:val="10"/>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14"/>
    <w:unhideWhenUsed/>
    <w:qFormat/>
    <w:uiPriority w:val="9"/>
    <w:pPr>
      <w:keepNext/>
      <w:keepLines/>
      <w:spacing w:before="260" w:after="260" w:line="416" w:lineRule="auto"/>
      <w:outlineLvl w:val="2"/>
    </w:pPr>
    <w:rPr>
      <w:b/>
      <w:bCs/>
      <w:sz w:val="32"/>
      <w:szCs w:val="32"/>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List Paragraph"/>
    <w:basedOn w:val="1"/>
    <w:qFormat/>
    <w:uiPriority w:val="34"/>
    <w:pPr>
      <w:ind w:firstLine="420" w:firstLineChars="200"/>
    </w:pPr>
  </w:style>
  <w:style w:type="character" w:customStyle="1" w:styleId="10">
    <w:name w:val="标题 1 字符"/>
    <w:basedOn w:val="8"/>
    <w:link w:val="2"/>
    <w:qFormat/>
    <w:uiPriority w:val="9"/>
    <w:rPr>
      <w:b/>
      <w:bCs/>
      <w:kern w:val="44"/>
      <w:sz w:val="44"/>
      <w:szCs w:val="44"/>
      <w14:ligatures w14:val="none"/>
    </w:rPr>
  </w:style>
  <w:style w:type="character" w:customStyle="1" w:styleId="11">
    <w:name w:val="标题 2 字符"/>
    <w:basedOn w:val="8"/>
    <w:link w:val="3"/>
    <w:qFormat/>
    <w:uiPriority w:val="9"/>
    <w:rPr>
      <w:rFonts w:asciiTheme="majorHAnsi" w:hAnsiTheme="majorHAnsi" w:eastAsiaTheme="majorEastAsia" w:cstheme="majorBidi"/>
      <w:b/>
      <w:bCs/>
      <w:sz w:val="32"/>
      <w:szCs w:val="32"/>
      <w14:ligatures w14:val="none"/>
    </w:rPr>
  </w:style>
  <w:style w:type="character" w:customStyle="1" w:styleId="12">
    <w:name w:val="页眉 字符"/>
    <w:basedOn w:val="8"/>
    <w:link w:val="6"/>
    <w:uiPriority w:val="99"/>
    <w:rPr>
      <w:rFonts w:asciiTheme="minorHAnsi" w:hAnsiTheme="minorHAnsi" w:eastAsiaTheme="minorEastAsia" w:cstheme="minorBidi"/>
      <w:kern w:val="2"/>
      <w:sz w:val="18"/>
      <w:szCs w:val="18"/>
    </w:rPr>
  </w:style>
  <w:style w:type="character" w:customStyle="1" w:styleId="13">
    <w:name w:val="页脚 字符"/>
    <w:basedOn w:val="8"/>
    <w:link w:val="5"/>
    <w:uiPriority w:val="99"/>
    <w:rPr>
      <w:rFonts w:asciiTheme="minorHAnsi" w:hAnsiTheme="minorHAnsi" w:eastAsiaTheme="minorEastAsia" w:cstheme="minorBidi"/>
      <w:kern w:val="2"/>
      <w:sz w:val="18"/>
      <w:szCs w:val="18"/>
    </w:rPr>
  </w:style>
  <w:style w:type="character" w:customStyle="1" w:styleId="14">
    <w:name w:val="标题 3 字符"/>
    <w:basedOn w:val="8"/>
    <w:link w:val="4"/>
    <w:qFormat/>
    <w:uiPriority w:val="9"/>
    <w:rPr>
      <w:rFonts w:asciiTheme="minorHAnsi" w:hAnsiTheme="minorHAnsi" w:eastAsiaTheme="minorEastAsia" w:cstheme="minorBidi"/>
      <w:b/>
      <w:bCs/>
      <w:kern w:val="2"/>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2898</Words>
  <Characters>2975</Characters>
  <Lines>28</Lines>
  <Paragraphs>7</Paragraphs>
  <TotalTime>4</TotalTime>
  <ScaleCrop>false</ScaleCrop>
  <LinksUpToDate>false</LinksUpToDate>
  <CharactersWithSpaces>2985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2023-03-06T01:16:00Z</dcterms:created>
  <dc:creator>wei lin</dc:creator>
  <cp:lastModifiedBy>陈凯明</cp:lastModifiedBy>
  <dcterms:modified xsi:type="dcterms:W3CDTF">2023-03-08T03:05:16Z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D95D0317EACB414A8A334BD013D9F942</vt:lpwstr>
  </property>
</Properties>
</file>